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0.3 -->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1550" w:x="5550" w:y="845"/>
        <w:widowControl w:val="0"/>
        <w:autoSpaceDE w:val="0"/>
        <w:autoSpaceDN w:val="0"/>
        <w:spacing w:line="220" w:lineRule="exact"/>
        <w:rPr>
          <w:rFonts w:hAnsi="Calibri"/>
          <w:color w:val="000000"/>
          <w:sz w:val="18"/>
          <w:szCs w:val="22"/>
          <w:lang w:val="en-US" w:eastAsia="en-US" w:bidi="ar-SA"/>
        </w:rPr>
      </w:pPr>
      <w:r>
        <w:rPr>
          <w:rFonts w:ascii="Calibri" w:hAnsi="Calibri"/>
          <w:color w:val="000000"/>
          <w:sz w:val="18"/>
          <w:szCs w:val="22"/>
          <w:lang w:val="en-US" w:eastAsia="en-US" w:bidi="ar-SA"/>
        </w:rPr>
        <w:t>2020</w:t>
      </w:r>
      <w:r>
        <w:rPr>
          <w:rFonts w:hAnsi="Calibri"/>
          <w:color w:val="000000"/>
          <w:spacing w:val="1"/>
          <w:sz w:val="18"/>
          <w:szCs w:val="22"/>
          <w:lang w:val="en-US" w:eastAsia="en-US" w:bidi="ar-SA"/>
        </w:rPr>
        <w:t xml:space="preserve"> </w:t>
      </w:r>
      <w:r>
        <w:rPr>
          <w:rFonts w:ascii="SimSun" w:hAnsi="SimSun" w:cs="SimSun"/>
          <w:color w:val="000000"/>
          <w:sz w:val="18"/>
          <w:szCs w:val="22"/>
          <w:lang w:val="en-US" w:eastAsia="en-US" w:bidi="ar-SA"/>
        </w:rPr>
        <w:t>年年度报告</w:t>
      </w:r>
    </w:p>
    <w:p>
      <w:pPr>
        <w:framePr w:w="1930" w:x="1798" w:y="1656"/>
        <w:widowControl w:val="0"/>
        <w:autoSpaceDE w:val="0"/>
        <w:autoSpaceDN w:val="0"/>
        <w:spacing w:line="211" w:lineRule="exact"/>
        <w:rPr>
          <w:rFonts w:ascii="SimSun" w:hAnsi="Calibri"/>
          <w:color w:val="000000"/>
          <w:sz w:val="21"/>
          <w:szCs w:val="22"/>
          <w:lang w:val="en-US" w:eastAsia="en-US" w:bidi="ar-SA"/>
        </w:rPr>
      </w:pPr>
      <w:r>
        <w:rPr>
          <w:rFonts w:ascii="SimSun" w:hAnsi="SimSun" w:cs="SimSun"/>
          <w:color w:val="000000"/>
          <w:sz w:val="21"/>
          <w:szCs w:val="22"/>
          <w:lang w:val="en-US" w:eastAsia="en-US" w:bidi="ar-SA"/>
        </w:rPr>
        <w:t>公司代码：</w:t>
      </w:r>
      <w:r>
        <w:rPr>
          <w:rFonts w:ascii="SimSun" w:hAnsi="Calibri"/>
          <w:color w:val="000000"/>
          <w:sz w:val="21"/>
          <w:szCs w:val="22"/>
          <w:lang w:val="en-US" w:eastAsia="en-US" w:bidi="ar-SA"/>
        </w:rPr>
        <w:t>603086</w:t>
      </w:r>
    </w:p>
    <w:p>
      <w:pPr>
        <w:framePr w:w="2141" w:x="8730" w:y="1656"/>
        <w:widowControl w:val="0"/>
        <w:autoSpaceDE w:val="0"/>
        <w:autoSpaceDN w:val="0"/>
        <w:spacing w:line="211" w:lineRule="exact"/>
        <w:rPr>
          <w:rFonts w:hAnsi="Calibri"/>
          <w:color w:val="000000"/>
          <w:sz w:val="21"/>
          <w:szCs w:val="22"/>
          <w:lang w:val="en-US" w:eastAsia="en-US" w:bidi="ar-SA"/>
        </w:rPr>
      </w:pPr>
      <w:r>
        <w:rPr>
          <w:rFonts w:ascii="SimSun" w:hAnsi="SimSun" w:cs="SimSun"/>
          <w:color w:val="000000"/>
          <w:sz w:val="21"/>
          <w:szCs w:val="22"/>
          <w:lang w:val="en-US" w:eastAsia="en-US" w:bidi="ar-SA"/>
        </w:rPr>
        <w:t>公司简称：先达股份</w:t>
      </w:r>
    </w:p>
    <w:p>
      <w:pPr>
        <w:framePr w:w="5537" w:x="3564" w:y="6090"/>
        <w:widowControl w:val="0"/>
        <w:autoSpaceDE w:val="0"/>
        <w:autoSpaceDN w:val="0"/>
        <w:spacing w:line="439" w:lineRule="exact"/>
        <w:rPr>
          <w:rFonts w:hAnsi="Calibri"/>
          <w:color w:val="000000"/>
          <w:sz w:val="44"/>
          <w:szCs w:val="22"/>
          <w:lang w:val="en-US" w:eastAsia="en-US" w:bidi="ar-SA"/>
        </w:rPr>
      </w:pPr>
      <w:r>
        <w:rPr>
          <w:rFonts w:ascii="SimHei" w:hAnsi="SimHei" w:cs="SimHei"/>
          <w:color w:val="FF0000"/>
          <w:spacing w:val="2"/>
          <w:sz w:val="44"/>
          <w:szCs w:val="22"/>
          <w:lang w:val="en-US" w:eastAsia="en-US" w:bidi="ar-SA"/>
        </w:rPr>
        <w:t>山东先达农化股份有限公司</w:t>
      </w:r>
    </w:p>
    <w:p>
      <w:pPr>
        <w:framePr w:w="5537" w:x="3564" w:y="6090"/>
        <w:widowControl w:val="0"/>
        <w:autoSpaceDE w:val="0"/>
        <w:autoSpaceDN w:val="0"/>
        <w:spacing w:before="132" w:line="439" w:lineRule="exact"/>
        <w:ind w:left="1047"/>
        <w:rPr>
          <w:rFonts w:hAnsi="Calibri"/>
          <w:color w:val="000000"/>
          <w:sz w:val="44"/>
          <w:szCs w:val="22"/>
          <w:lang w:val="en-US" w:eastAsia="en-US" w:bidi="ar-SA"/>
        </w:rPr>
      </w:pPr>
      <w:r>
        <w:rPr>
          <w:rFonts w:ascii="SimHei" w:hAnsi="Calibri"/>
          <w:color w:val="FF0000"/>
          <w:spacing w:val="2"/>
          <w:sz w:val="44"/>
          <w:szCs w:val="22"/>
          <w:lang w:val="en-US" w:eastAsia="en-US" w:bidi="ar-SA"/>
        </w:rPr>
        <w:t>2020</w:t>
      </w:r>
      <w:r>
        <w:rPr>
          <w:rFonts w:ascii="SimHei" w:hAnsi="SimHei" w:cs="SimHei"/>
          <w:color w:val="FF0000"/>
          <w:spacing w:val="2"/>
          <w:sz w:val="44"/>
          <w:szCs w:val="22"/>
          <w:lang w:val="en-US" w:eastAsia="en-US" w:bidi="ar-SA"/>
        </w:rPr>
        <w:t>年年度报告</w:t>
      </w:r>
    </w:p>
    <w:p>
      <w:pPr>
        <w:framePr w:w="756" w:x="5955" w:y="15609"/>
        <w:widowControl w:val="0"/>
        <w:autoSpaceDE w:val="0"/>
        <w:autoSpaceDN w:val="0"/>
        <w:spacing w:line="220" w:lineRule="exact"/>
        <w:rPr>
          <w:rFonts w:hAnsi="Calibri"/>
          <w:color w:val="000000"/>
          <w:sz w:val="18"/>
          <w:szCs w:val="22"/>
          <w:lang w:val="en-US" w:eastAsia="en-US" w:bidi="ar-SA"/>
        </w:rPr>
      </w:pPr>
      <w:r>
        <w:rPr>
          <w:rFonts w:ascii="Calibri" w:hAnsi="Calibri"/>
          <w:b/>
          <w:color w:val="000000"/>
          <w:sz w:val="18"/>
          <w:szCs w:val="22"/>
          <w:lang w:val="en-US" w:eastAsia="en-US" w:bidi="ar-SA"/>
        </w:rPr>
        <w:t>1</w:t>
      </w:r>
      <w:r>
        <w:rPr>
          <w:rFonts w:hAnsi="Calibri"/>
          <w:b/>
          <w:color w:val="000000"/>
          <w:spacing w:val="-4"/>
          <w:sz w:val="18"/>
          <w:szCs w:val="22"/>
          <w:lang w:val="en-US" w:eastAsia="en-US" w:bidi="ar-SA"/>
        </w:rPr>
        <w:t xml:space="preserve"> </w:t>
      </w:r>
      <w:r>
        <w:rPr>
          <w:rFonts w:ascii="Calibri" w:hAnsi="Calibri"/>
          <w:color w:val="000000"/>
          <w:sz w:val="18"/>
          <w:szCs w:val="22"/>
          <w:lang w:val="en-US" w:eastAsia="en-US" w:bidi="ar-SA"/>
        </w:rPr>
        <w:t>/</w:t>
      </w:r>
      <w:r>
        <w:rPr>
          <w:rFonts w:ascii="Calibri" w:hAnsi="Calibri"/>
          <w:color w:val="000000"/>
          <w:sz w:val="18"/>
          <w:szCs w:val="22"/>
          <w:lang w:val="en-US" w:eastAsia="en-US" w:bidi="ar-SA"/>
        </w:rPr>
        <w:t xml:space="preserve"> </w:t>
      </w:r>
      <w:r>
        <w:rPr>
          <w:rFonts w:ascii="Calibri" w:hAnsi="Calibri"/>
          <w:b/>
          <w:color w:val="000000"/>
          <w:sz w:val="18"/>
          <w:szCs w:val="22"/>
          <w:lang w:val="en-US" w:eastAsia="en-US" w:bidi="ar-SA"/>
        </w:rPr>
        <w:t>198</w:t>
      </w:r>
    </w:p>
    <w:p>
      <w:pPr>
        <w:spacing w:line="0" w:lineRule="atLeast"/>
        <w:rPr>
          <w:rFonts w:ascii="Arial" w:hAnsi="Calibr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45.6pt;height:2.7pt;margin-top:53.5pt;margin-left:87.45pt;mso-position-horizontal-relative:page;mso-position-vertical-relative:page;position:absolute;z-index:-251455488">
            <v:imagedata r:id="rId4" o:title=""/>
          </v:shape>
        </w:pict>
      </w:r>
      <w:r>
        <w:rPr>
          <w:noProof/>
        </w:rPr>
        <w:pict>
          <v:shape id="_x0000_s1026" type="#_x0000_t75" style="width:145.15pt;height:93.45pt;margin-top:168pt;margin-left:230.6pt;mso-position-horizontal-relative:page;mso-position-vertical-relative:page;position:absolute;z-index:-251658240">
            <v:imagedata r:id="rId5" o:title=""/>
          </v:shape>
        </w:pict>
      </w:r>
    </w:p>
    <w:p>
      <w:pPr>
        <w:spacing w:line="0" w:lineRule="atLeast"/>
        <w:rPr>
          <w:rFonts w:ascii="Arial" w:eastAsiaTheme="minorEastAsia" w:hAnsiTheme="minorHAnsi" w:cstheme="minorBidi"/>
          <w:color w:val="FF0000"/>
          <w:sz w:val="2"/>
          <w:szCs w:val="22"/>
          <w:lang w:val="en-US" w:eastAsia="en-US" w:bidi="ar-SA"/>
        </w:rPr>
      </w:pPr>
      <w:bookmarkStart w:id="1" w:name="br1_0"/>
      <w:bookmarkEnd w:id="1"/>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365" w:x="5651" w:y="1663"/>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2"/>
          <w:sz w:val="28"/>
          <w:szCs w:val="22"/>
          <w:lang w:val="en-US" w:eastAsia="en-US" w:bidi="ar-SA"/>
        </w:rPr>
        <w:t>重要提示</w:t>
      </w:r>
    </w:p>
    <w:p>
      <w:pPr>
        <w:framePr w:w="9322" w:x="1798" w:y="2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w:t>
      </w:r>
      <w:r>
        <w:rPr>
          <w:rFonts w:eastAsiaTheme="minorEastAsia" w:hAnsiTheme="minorHAnsi" w:cstheme="minorBidi"/>
          <w:color w:val="000000"/>
          <w:spacing w:val="-39"/>
          <w:sz w:val="21"/>
          <w:szCs w:val="22"/>
          <w:lang w:val="en-US" w:eastAsia="en-US" w:bidi="ar-SA"/>
        </w:rPr>
        <w:t xml:space="preserve"> </w:t>
      </w:r>
      <w:r>
        <w:rPr>
          <w:rFonts w:ascii="SimSun" w:hAnsi="SimSun" w:eastAsiaTheme="minorEastAsia" w:cs="SimSun"/>
          <w:color w:val="000000"/>
          <w:spacing w:val="-5"/>
          <w:sz w:val="21"/>
          <w:szCs w:val="22"/>
          <w:lang w:val="en-US" w:eastAsia="en-US" w:bidi="ar-SA"/>
        </w:rPr>
        <w:t>本公司董事会、监事会及董事、监事、高级管理人员保证年度报告内容的真实、准确、完整，</w:t>
      </w:r>
    </w:p>
    <w:p>
      <w:pPr>
        <w:framePr w:w="9322" w:x="1798" w:y="2320"/>
        <w:widowControl w:val="0"/>
        <w:autoSpaceDE w:val="0"/>
        <w:autoSpaceDN w:val="0"/>
        <w:spacing w:before="199" w:line="211" w:lineRule="exact"/>
        <w:ind w:left="36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不存在虚假记载、误导性陈述或重大遗漏，并承担个别和连带的法律责任。</w:t>
      </w:r>
    </w:p>
    <w:p>
      <w:pPr>
        <w:framePr w:w="3641" w:x="1798" w:y="32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二、公司全体董事出席董事会会议。</w:t>
      </w:r>
    </w:p>
    <w:p>
      <w:pPr>
        <w:framePr w:w="8348" w:x="1798" w:y="37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w:t>
      </w:r>
      <w:r>
        <w:rPr>
          <w:rFonts w:eastAsiaTheme="minorEastAsia" w:hAnsiTheme="minorHAnsi" w:cstheme="minorBidi"/>
          <w:color w:val="000000"/>
          <w:spacing w:val="4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大华会计师事务所（特殊普通合伙）为本公司出具了标准无保留意见的审计报告。</w:t>
      </w:r>
    </w:p>
    <w:p>
      <w:pPr>
        <w:framePr w:w="9110" w:x="1798" w:y="43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四、公司负责人王现全、主管会计工作负责人江广同及会计机构负责人（会计主管人员）江广同</w:t>
      </w:r>
    </w:p>
    <w:p>
      <w:pPr>
        <w:framePr w:w="9110" w:x="1798" w:y="4315"/>
        <w:widowControl w:val="0"/>
        <w:autoSpaceDE w:val="0"/>
        <w:autoSpaceDN w:val="0"/>
        <w:spacing w:before="197" w:line="211" w:lineRule="exact"/>
        <w:ind w:left="36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声明：保证年度报告中财务报告的真实、准确、完整。</w:t>
      </w:r>
    </w:p>
    <w:p>
      <w:pPr>
        <w:framePr w:w="6211" w:x="1798" w:y="52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经董事会审议的报告期利润分配预案或公积金转增股本预案</w:t>
      </w:r>
    </w:p>
    <w:p>
      <w:pPr>
        <w:framePr w:w="9638" w:x="1798" w:y="57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经公司第四届董事会第二次会议审议通过了《关于</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年度利润分配及资本公积金转增股本</w:t>
      </w:r>
    </w:p>
    <w:p>
      <w:pPr>
        <w:framePr w:w="9638" w:x="1798" w:y="5782"/>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预案的议案》，以实施权益分派股权登记日的总股本为基数，向全体股东每</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股派发现金红利</w:t>
      </w:r>
      <w:r>
        <w:rPr>
          <w:rFonts w:ascii="SimSun" w:eastAsiaTheme="minorEastAsia" w:hAnsiTheme="minorHAnsi" w:cstheme="minorBidi"/>
          <w:color w:val="000000"/>
          <w:sz w:val="21"/>
          <w:szCs w:val="22"/>
          <w:lang w:val="en-US" w:eastAsia="en-US" w:bidi="ar-SA"/>
        </w:rPr>
        <w:t>3.50</w:t>
      </w:r>
    </w:p>
    <w:p>
      <w:pPr>
        <w:framePr w:w="9638" w:x="1798" w:y="5782"/>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5"/>
          <w:sz w:val="21"/>
          <w:szCs w:val="22"/>
          <w:lang w:val="en-US" w:eastAsia="en-US" w:bidi="ar-SA"/>
        </w:rPr>
        <w:t>元（含税）；同时以资本公积金向全体股东每</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股转增</w:t>
      </w: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25"/>
          <w:sz w:val="21"/>
          <w:szCs w:val="22"/>
          <w:lang w:val="en-US" w:eastAsia="en-US" w:bidi="ar-SA"/>
        </w:rPr>
        <w:t>股。截至</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pacing w:val="1"/>
          <w:sz w:val="21"/>
          <w:szCs w:val="22"/>
          <w:lang w:val="en-US" w:eastAsia="en-US" w:bidi="ar-SA"/>
        </w:rPr>
        <w:t>月</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pacing w:val="-14"/>
          <w:sz w:val="21"/>
          <w:szCs w:val="22"/>
          <w:lang w:val="en-US" w:eastAsia="en-US" w:bidi="ar-SA"/>
        </w:rPr>
        <w:t>日，公司总股本</w:t>
      </w:r>
      <w:r>
        <w:rPr>
          <w:rFonts w:ascii="SimSun" w:eastAsiaTheme="minorEastAsia" w:hAnsiTheme="minorHAnsi" w:cstheme="minorBidi"/>
          <w:color w:val="000000"/>
          <w:sz w:val="21"/>
          <w:szCs w:val="22"/>
          <w:lang w:val="en-US" w:eastAsia="en-US" w:bidi="ar-SA"/>
        </w:rPr>
        <w:t>15,849</w:t>
      </w:r>
    </w:p>
    <w:p>
      <w:pPr>
        <w:framePr w:w="9638" w:x="1798" w:y="578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万股，共计派发现金红利</w:t>
      </w:r>
      <w:r>
        <w:rPr>
          <w:rFonts w:ascii="SimSun" w:eastAsiaTheme="minorEastAsia" w:hAnsiTheme="minorHAnsi" w:cstheme="minorBidi"/>
          <w:color w:val="000000"/>
          <w:sz w:val="21"/>
          <w:szCs w:val="22"/>
          <w:lang w:val="en-US" w:eastAsia="en-US" w:bidi="ar-SA"/>
        </w:rPr>
        <w:t>55,471,500</w:t>
      </w:r>
      <w:r>
        <w:rPr>
          <w:rFonts w:ascii="SimSun" w:hAnsi="SimSun" w:eastAsiaTheme="minorEastAsia" w:cs="SimSun"/>
          <w:color w:val="000000"/>
          <w:sz w:val="21"/>
          <w:szCs w:val="22"/>
          <w:lang w:val="en-US" w:eastAsia="en-US" w:bidi="ar-SA"/>
        </w:rPr>
        <w:t>元（含税），本年度公司现金分红比例为</w:t>
      </w:r>
      <w:r>
        <w:rPr>
          <w:rFonts w:ascii="SimSun" w:eastAsiaTheme="minorEastAsia" w:hAnsiTheme="minorHAnsi" w:cstheme="minorBidi"/>
          <w:color w:val="000000"/>
          <w:sz w:val="21"/>
          <w:szCs w:val="22"/>
          <w:lang w:val="en-US" w:eastAsia="en-US" w:bidi="ar-SA"/>
        </w:rPr>
        <w:t>31.51%</w:t>
      </w:r>
      <w:r>
        <w:rPr>
          <w:rFonts w:ascii="SimSun" w:hAnsi="SimSun" w:eastAsiaTheme="minorEastAsia" w:cs="SimSun"/>
          <w:color w:val="000000"/>
          <w:sz w:val="21"/>
          <w:szCs w:val="22"/>
          <w:lang w:val="en-US" w:eastAsia="en-US" w:bidi="ar-SA"/>
        </w:rPr>
        <w:t>。本次利润</w:t>
      </w:r>
    </w:p>
    <w:p>
      <w:pPr>
        <w:framePr w:w="9638" w:x="1798" w:y="57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分配及资本公积金转增股本方案尚需提交</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年年度股东大会审议。</w:t>
      </w:r>
    </w:p>
    <w:p>
      <w:pPr>
        <w:framePr w:w="2854" w:x="1798" w:y="79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w:t>
      </w:r>
      <w:r>
        <w:rPr>
          <w:rFonts w:eastAsiaTheme="minorEastAsia" w:hAnsiTheme="minorHAnsi" w:cstheme="minorBidi"/>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前瞻性陈述的风险声明</w:t>
      </w:r>
    </w:p>
    <w:p>
      <w:pPr>
        <w:framePr w:w="2854" w:x="1798" w:y="794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8" w:x="1798" w:y="900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本报告中所涉及的未来计划、发展战略等前瞻性描述不构成公司对投资者的实质承诺，敬请</w:t>
      </w:r>
    </w:p>
    <w:p>
      <w:pPr>
        <w:framePr w:w="9068" w:x="1798" w:y="900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投资者注意投资风险</w:t>
      </w:r>
    </w:p>
    <w:p>
      <w:pPr>
        <w:framePr w:w="5734" w:x="1798" w:y="99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七、是否存在被控股股东及其关联方非经营性占用资金情况</w:t>
      </w:r>
    </w:p>
    <w:p>
      <w:pPr>
        <w:framePr w:w="451" w:x="2218" w:y="104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5311" w:x="1798" w:y="109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八、</w:t>
      </w:r>
      <w:r>
        <w:rPr>
          <w:rFonts w:eastAsiaTheme="minorEastAsia" w:hAnsiTheme="minorHAnsi" w:cstheme="minorBidi"/>
          <w:color w:val="000000"/>
          <w:spacing w:val="1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是否存在违反规定决策程序对外提供担保的情况</w:t>
      </w:r>
    </w:p>
    <w:p>
      <w:pPr>
        <w:framePr w:w="451" w:x="2218" w:y="11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8262" w:x="1798" w:y="120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九、</w:t>
      </w:r>
      <w:r>
        <w:rPr>
          <w:rFonts w:eastAsiaTheme="minorEastAsia" w:hAnsiTheme="minorHAnsi" w:cstheme="minorBidi"/>
          <w:color w:val="000000"/>
          <w:spacing w:val="1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是否存在半数以上董事无法保证公司所披露年度报告的真实性、准确性和完整性</w:t>
      </w:r>
    </w:p>
    <w:p>
      <w:pPr>
        <w:framePr w:w="451" w:x="2218" w:y="125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2150" w:x="1798" w:y="131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w:t>
      </w:r>
      <w:r>
        <w:rPr>
          <w:rFonts w:eastAsiaTheme="minorEastAsia" w:hAnsiTheme="minorHAnsi" w:cstheme="minorBidi"/>
          <w:color w:val="000000"/>
          <w:spacing w:val="1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重大风险提示</w:t>
      </w:r>
    </w:p>
    <w:p>
      <w:pPr>
        <w:framePr w:w="9068" w:x="1798" w:y="136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报告期内，公司不存在对生产经营产生实质性影响的特别重大风险。公司已在本报告第四节</w:t>
      </w:r>
    </w:p>
    <w:p>
      <w:pPr>
        <w:framePr w:w="9068" w:x="1798" w:y="1363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“经营情况讨论与分析”等有关章节详细描述了公司可能面临的风险，敬请投资者予以关注</w:t>
      </w:r>
    </w:p>
    <w:p>
      <w:pPr>
        <w:framePr w:w="1306" w:x="1798" w:y="145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十一、其他</w:t>
      </w:r>
    </w:p>
    <w:p>
      <w:pPr>
        <w:framePr w:w="1817" w:x="1798" w:y="151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56" w:x="5955"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27" type="#_x0000_t75" style="width:445.6pt;height:2.7pt;margin-top:53.5pt;margin-left:87.45pt;mso-position-horizontal-relative:page;mso-position-vertical-relative:page;position:absolute;z-index:-25165721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 w:name="br1_1"/>
      <w:bookmarkEnd w:id="2"/>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02" w:x="5934" w:y="1545"/>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Sun" w:hAnsi="SimSun" w:eastAsiaTheme="minorEastAsia" w:cs="SimSun"/>
          <w:color w:val="000000"/>
          <w:spacing w:val="1"/>
          <w:sz w:val="28"/>
          <w:szCs w:val="22"/>
          <w:lang w:val="en-US" w:eastAsia="en-US" w:bidi="ar-SA"/>
        </w:rPr>
        <w:t>目录</w:t>
      </w:r>
    </w:p>
    <w:p>
      <w:pPr>
        <w:framePr w:w="1085" w:x="1798" w:y="2263"/>
        <w:widowControl w:val="0"/>
        <w:autoSpaceDE w:val="0"/>
        <w:autoSpaceDN w:val="0"/>
        <w:spacing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第一节</w:t>
        </w:r>
      </w:hyperlink>
    </w:p>
    <w:p>
      <w:pPr>
        <w:framePr w:w="1085" w:x="1798" w:y="2263"/>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第二节</w:t>
        </w:r>
      </w:hyperlink>
    </w:p>
    <w:p>
      <w:pPr>
        <w:framePr w:w="1085" w:x="1798" w:y="2263"/>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第三节</w:t>
        </w:r>
      </w:hyperlink>
    </w:p>
    <w:p>
      <w:pPr>
        <w:framePr w:w="1085" w:x="1798" w:y="2263"/>
        <w:widowControl w:val="0"/>
        <w:autoSpaceDE w:val="0"/>
        <w:autoSpaceDN w:val="0"/>
        <w:spacing w:before="199"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第四节</w:t>
        </w:r>
      </w:hyperlink>
    </w:p>
    <w:p>
      <w:pPr>
        <w:framePr w:w="1085" w:x="1798" w:y="2263"/>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第五节</w:t>
        </w:r>
      </w:hyperlink>
    </w:p>
    <w:p>
      <w:pPr>
        <w:framePr w:w="1085" w:x="1798" w:y="2263"/>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第六节</w:t>
        </w:r>
      </w:hyperlink>
    </w:p>
    <w:p>
      <w:pPr>
        <w:framePr w:w="1085" w:x="1798" w:y="2263"/>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第七节</w:t>
        </w:r>
      </w:hyperlink>
    </w:p>
    <w:p>
      <w:pPr>
        <w:framePr w:w="1085" w:x="1798" w:y="2263"/>
        <w:widowControl w:val="0"/>
        <w:autoSpaceDE w:val="0"/>
        <w:autoSpaceDN w:val="0"/>
        <w:spacing w:before="199"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第八节</w:t>
        </w:r>
      </w:hyperlink>
    </w:p>
    <w:p>
      <w:pPr>
        <w:framePr w:w="1085" w:x="1798" w:y="2263"/>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第九节</w:t>
        </w:r>
      </w:hyperlink>
    </w:p>
    <w:p>
      <w:pPr>
        <w:framePr w:w="1085" w:x="1798" w:y="2263"/>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第十节</w:t>
        </w:r>
      </w:hyperlink>
    </w:p>
    <w:p>
      <w:pPr>
        <w:framePr w:w="1085" w:x="1798" w:y="2263"/>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第十一节</w:t>
        </w:r>
      </w:hyperlink>
    </w:p>
    <w:p>
      <w:pPr>
        <w:framePr w:w="1085" w:x="1798" w:y="2263"/>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第十二节</w:t>
        </w:r>
      </w:hyperlink>
    </w:p>
    <w:p>
      <w:pPr>
        <w:framePr w:w="7806" w:x="3058" w:y="2256"/>
        <w:widowControl w:val="0"/>
        <w:autoSpaceDE w:val="0"/>
        <w:autoSpaceDN w:val="0"/>
        <w:spacing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4"/>
            <w:sz w:val="21"/>
            <w:szCs w:val="22"/>
            <w:lang w:val="en-US" w:eastAsia="en-US" w:bidi="ar-SA"/>
          </w:rPr>
          <w:t>释义</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z w:val="21"/>
            <w:szCs w:val="22"/>
            <w:lang w:val="en-US" w:eastAsia="en-US" w:bidi="ar-SA"/>
          </w:rPr>
          <w:t>4</w:t>
        </w:r>
      </w:hyperlink>
    </w:p>
    <w:p>
      <w:pPr>
        <w:framePr w:w="7806" w:x="3058" w:y="2256"/>
        <w:widowControl w:val="0"/>
        <w:autoSpaceDE w:val="0"/>
        <w:autoSpaceDN w:val="0"/>
        <w:spacing w:before="174"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公司简介和主要财务指标</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z w:val="21"/>
            <w:szCs w:val="22"/>
            <w:lang w:val="en-US" w:eastAsia="en-US" w:bidi="ar-SA"/>
          </w:rPr>
          <w:t>4</w:t>
        </w:r>
      </w:hyperlink>
    </w:p>
    <w:p>
      <w:pPr>
        <w:framePr w:w="7806" w:x="3058" w:y="2256"/>
        <w:widowControl w:val="0"/>
        <w:autoSpaceDE w:val="0"/>
        <w:autoSpaceDN w:val="0"/>
        <w:spacing w:before="174"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公司业务概要</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z w:val="21"/>
            <w:szCs w:val="22"/>
            <w:lang w:val="en-US" w:eastAsia="en-US" w:bidi="ar-SA"/>
          </w:rPr>
          <w:t>8</w:t>
        </w:r>
      </w:hyperlink>
    </w:p>
    <w:p>
      <w:pPr>
        <w:framePr w:w="7806" w:x="3058" w:y="2256"/>
        <w:widowControl w:val="0"/>
        <w:autoSpaceDE w:val="0"/>
        <w:autoSpaceDN w:val="0"/>
        <w:spacing w:before="177"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经营情况讨论与分析</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pacing w:val="-11"/>
            <w:sz w:val="21"/>
            <w:szCs w:val="22"/>
            <w:lang w:val="en-US" w:eastAsia="en-US" w:bidi="ar-SA"/>
          </w:rPr>
          <w:t>11</w:t>
        </w:r>
      </w:hyperlink>
    </w:p>
    <w:p>
      <w:pPr>
        <w:framePr w:w="7806" w:x="3058" w:y="2256"/>
        <w:widowControl w:val="0"/>
        <w:autoSpaceDE w:val="0"/>
        <w:autoSpaceDN w:val="0"/>
        <w:spacing w:before="174"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3"/>
            <w:sz w:val="21"/>
            <w:szCs w:val="22"/>
            <w:lang w:val="en-US" w:eastAsia="en-US" w:bidi="ar-SA"/>
          </w:rPr>
          <w:t>重要事项</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pacing w:val="1"/>
            <w:sz w:val="21"/>
            <w:szCs w:val="22"/>
            <w:lang w:val="en-US" w:eastAsia="en-US" w:bidi="ar-SA"/>
          </w:rPr>
          <w:t>29</w:t>
        </w:r>
      </w:hyperlink>
    </w:p>
    <w:p>
      <w:pPr>
        <w:framePr w:w="7806" w:x="3058" w:y="2256"/>
        <w:widowControl w:val="0"/>
        <w:autoSpaceDE w:val="0"/>
        <w:autoSpaceDN w:val="0"/>
        <w:spacing w:before="174"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普通股股份变动及股东情况</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pacing w:val="1"/>
            <w:sz w:val="21"/>
            <w:szCs w:val="22"/>
            <w:lang w:val="en-US" w:eastAsia="en-US" w:bidi="ar-SA"/>
          </w:rPr>
          <w:t>45</w:t>
        </w:r>
      </w:hyperlink>
    </w:p>
    <w:p>
      <w:pPr>
        <w:framePr w:w="7806" w:x="3058" w:y="2256"/>
        <w:widowControl w:val="0"/>
        <w:autoSpaceDE w:val="0"/>
        <w:autoSpaceDN w:val="0"/>
        <w:spacing w:before="174"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优先股相关情况</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pacing w:val="1"/>
            <w:sz w:val="21"/>
            <w:szCs w:val="22"/>
            <w:lang w:val="en-US" w:eastAsia="en-US" w:bidi="ar-SA"/>
          </w:rPr>
          <w:t>51</w:t>
        </w:r>
      </w:hyperlink>
    </w:p>
    <w:p>
      <w:pPr>
        <w:framePr w:w="7806" w:x="3058" w:y="2256"/>
        <w:widowControl w:val="0"/>
        <w:autoSpaceDE w:val="0"/>
        <w:autoSpaceDN w:val="0"/>
        <w:spacing w:before="177"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董事、监事、高级管理人员和员工情况</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pacing w:val="1"/>
            <w:sz w:val="21"/>
            <w:szCs w:val="22"/>
            <w:lang w:val="en-US" w:eastAsia="en-US" w:bidi="ar-SA"/>
          </w:rPr>
          <w:t>52</w:t>
        </w:r>
      </w:hyperlink>
    </w:p>
    <w:p>
      <w:pPr>
        <w:framePr w:w="7806" w:x="3058" w:y="2256"/>
        <w:widowControl w:val="0"/>
        <w:autoSpaceDE w:val="0"/>
        <w:autoSpaceDN w:val="0"/>
        <w:spacing w:before="175"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3"/>
            <w:sz w:val="21"/>
            <w:szCs w:val="22"/>
            <w:lang w:val="en-US" w:eastAsia="en-US" w:bidi="ar-SA"/>
          </w:rPr>
          <w:t>公司治理</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pacing w:val="1"/>
            <w:sz w:val="21"/>
            <w:szCs w:val="22"/>
            <w:lang w:val="en-US" w:eastAsia="en-US" w:bidi="ar-SA"/>
          </w:rPr>
          <w:t>57</w:t>
        </w:r>
      </w:hyperlink>
    </w:p>
    <w:p>
      <w:pPr>
        <w:framePr w:w="7806" w:x="3058" w:y="2256"/>
        <w:widowControl w:val="0"/>
        <w:autoSpaceDE w:val="0"/>
        <w:autoSpaceDN w:val="0"/>
        <w:spacing w:before="174"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公司债券相关情况</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pacing w:val="1"/>
            <w:sz w:val="21"/>
            <w:szCs w:val="22"/>
            <w:lang w:val="en-US" w:eastAsia="en-US" w:bidi="ar-SA"/>
          </w:rPr>
          <w:t>59</w:t>
        </w:r>
      </w:hyperlink>
    </w:p>
    <w:p>
      <w:pPr>
        <w:framePr w:w="7806" w:x="3058" w:y="2256"/>
        <w:widowControl w:val="0"/>
        <w:autoSpaceDE w:val="0"/>
        <w:autoSpaceDN w:val="0"/>
        <w:spacing w:before="174"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3"/>
            <w:sz w:val="21"/>
            <w:szCs w:val="22"/>
            <w:lang w:val="en-US" w:eastAsia="en-US" w:bidi="ar-SA"/>
          </w:rPr>
          <w:t>财务报告</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pacing w:val="1"/>
            <w:sz w:val="21"/>
            <w:szCs w:val="22"/>
            <w:lang w:val="en-US" w:eastAsia="en-US" w:bidi="ar-SA"/>
          </w:rPr>
          <w:t>60</w:t>
        </w:r>
      </w:hyperlink>
    </w:p>
    <w:p>
      <w:pPr>
        <w:framePr w:w="7806" w:x="3058" w:y="2256"/>
        <w:widowControl w:val="0"/>
        <w:autoSpaceDE w:val="0"/>
        <w:autoSpaceDN w:val="0"/>
        <w:spacing w:before="174" w:line="234"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备查文件目录</w:t>
        </w:r>
      </w:hyperlink>
      <w:hyperlink w:anchor="br0" w:history="1">
        <w:r>
          <w:rPr>
            <w:rFonts w:eastAsiaTheme="minorEastAsia" w:hAnsiTheme="minorHAnsi" w:cstheme="minorBidi"/>
            <w:b/>
            <w:color w:val="000000"/>
            <w:sz w:val="21"/>
            <w:szCs w:val="22"/>
            <w:lang w:val="en-US" w:eastAsia="en-US" w:bidi="ar-SA"/>
          </w:rPr>
          <w:t>.................................................................................................................</w:t>
        </w:r>
      </w:hyperlink>
      <w:hyperlink w:anchor="br0" w:history="1">
        <w:r>
          <w:rPr>
            <w:rFonts w:eastAsiaTheme="minorEastAsia" w:hAnsiTheme="minorHAnsi" w:cstheme="minorBidi"/>
            <w:b/>
            <w:color w:val="000000"/>
            <w:spacing w:val="1"/>
            <w:sz w:val="21"/>
            <w:szCs w:val="22"/>
            <w:lang w:val="en-US" w:eastAsia="en-US" w:bidi="ar-SA"/>
          </w:rPr>
          <w:t>198</w:t>
        </w:r>
      </w:hyperlink>
    </w:p>
    <w:p>
      <w:pPr>
        <w:framePr w:w="756" w:x="5955"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28" type="#_x0000_t75" style="width:445.6pt;height:2.7pt;margin-top:53.5pt;margin-left:87.45pt;mso-position-horizontal-relative:page;mso-position-vertical-relative:page;position:absolute;z-index:-25165619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3" w:name="br1_2"/>
      <w:bookmarkEnd w:id="3"/>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062" w:x="4782" w:y="1519"/>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第一节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1"/>
          <w:sz w:val="28"/>
          <w:szCs w:val="22"/>
          <w:lang w:val="en-US" w:eastAsia="en-US" w:bidi="ar-SA"/>
        </w:rPr>
        <w:t>释义</w:t>
      </w:r>
    </w:p>
    <w:p>
      <w:pPr>
        <w:framePr w:w="1250" w:x="1277" w:y="21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w:t>
      </w:r>
      <w:r>
        <w:rPr>
          <w:rFonts w:eastAsiaTheme="minorEastAsia" w:hAnsiTheme="minorHAnsi" w:cstheme="minorBidi"/>
          <w:color w:val="000000"/>
          <w:spacing w:val="11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释义</w:t>
      </w:r>
    </w:p>
    <w:p>
      <w:pPr>
        <w:framePr w:w="5942" w:x="1277" w:y="2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在本报告书中，除非文义另有所指，下列词语具有如下含义：</w:t>
      </w:r>
    </w:p>
    <w:p>
      <w:pPr>
        <w:framePr w:w="5942" w:x="1277" w:y="24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常用词语释义</w:t>
      </w:r>
    </w:p>
    <w:p>
      <w:pPr>
        <w:framePr w:w="2563" w:x="1277" w:y="30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本公司、公司、先达股份</w:t>
      </w:r>
    </w:p>
    <w:p>
      <w:pPr>
        <w:framePr w:w="2563" w:x="1277" w:y="301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w:t>
      </w:r>
    </w:p>
    <w:p>
      <w:pPr>
        <w:framePr w:w="451" w:x="4007" w:y="30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301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301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301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301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301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301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2774" w:x="4503" w:y="30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山东先达农化股份有限公司</w:t>
      </w:r>
    </w:p>
    <w:p>
      <w:pPr>
        <w:framePr w:w="5953" w:x="4503" w:y="32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潍坊先达化工有限公司，本公司之全资子公司</w:t>
      </w:r>
    </w:p>
    <w:p>
      <w:pPr>
        <w:framePr w:w="5953" w:x="4503" w:y="32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济南先达化工科技有限公司，本公司之全资子公司</w:t>
      </w:r>
    </w:p>
    <w:p>
      <w:pPr>
        <w:framePr w:w="5953" w:x="4503" w:y="32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辽宁先达农业科学有限公司，本公司之全资子公司</w:t>
      </w:r>
    </w:p>
    <w:p>
      <w:pPr>
        <w:framePr w:w="5953" w:x="4503" w:y="32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济南瑞斯邦国际贸易有限公司，本公司之全资子公司</w:t>
      </w:r>
    </w:p>
    <w:p>
      <w:pPr>
        <w:framePr w:w="5953" w:x="4503" w:y="32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博兴县盛信达安全技术服务有限公司，本公司之全资子公司</w:t>
      </w:r>
    </w:p>
    <w:p>
      <w:pPr>
        <w:framePr w:w="5953" w:x="4503" w:y="32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香港德胜实业有限公司（</w:t>
      </w:r>
      <w:r>
        <w:rPr>
          <w:rFonts w:ascii="SimSun" w:eastAsiaTheme="minorEastAsia" w:hAnsiTheme="minorHAnsi" w:cstheme="minorBidi"/>
          <w:color w:val="000000"/>
          <w:sz w:val="21"/>
          <w:szCs w:val="22"/>
          <w:lang w:val="en-US" w:eastAsia="en-US" w:bidi="ar-SA"/>
        </w:rPr>
        <w:t>WINZONE</w:t>
      </w:r>
      <w:r>
        <w:rPr>
          <w:rFonts w:ascii="SimSun"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INDUSTRIAL</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CO.,LIMITED</w:t>
      </w:r>
      <w:r>
        <w:rPr>
          <w:rFonts w:ascii="SimSun" w:hAnsi="SimSun" w:eastAsiaTheme="minorEastAsia" w:cs="SimSun"/>
          <w:color w:val="000000"/>
          <w:spacing w:val="-35"/>
          <w:sz w:val="21"/>
          <w:szCs w:val="22"/>
          <w:lang w:val="en-US" w:eastAsia="en-US" w:bidi="ar-SA"/>
        </w:rPr>
        <w:t>），</w:t>
      </w:r>
    </w:p>
    <w:p>
      <w:pPr>
        <w:framePr w:w="5953" w:x="4503" w:y="329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本公司之全资子公司</w:t>
      </w:r>
    </w:p>
    <w:p>
      <w:pPr>
        <w:framePr w:w="1085" w:x="1277" w:y="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w:t>
      </w:r>
    </w:p>
    <w:p>
      <w:pPr>
        <w:framePr w:w="1085" w:x="1277" w:y="38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w:t>
      </w:r>
    </w:p>
    <w:p>
      <w:pPr>
        <w:framePr w:w="1507" w:x="1277" w:y="4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济南瑞斯邦</w:t>
      </w:r>
    </w:p>
    <w:p>
      <w:pPr>
        <w:framePr w:w="1507" w:x="1277" w:y="414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博兴县盛信达</w:t>
      </w:r>
    </w:p>
    <w:p>
      <w:pPr>
        <w:framePr w:w="1507" w:x="1277" w:y="414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w:t>
      </w:r>
    </w:p>
    <w:p>
      <w:pPr>
        <w:framePr w:w="1085" w:x="1277" w:y="52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w:t>
      </w:r>
    </w:p>
    <w:p>
      <w:pPr>
        <w:framePr w:w="1085" w:x="1277" w:y="526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w:t>
      </w:r>
    </w:p>
    <w:p>
      <w:pPr>
        <w:framePr w:w="1085" w:x="1277" w:y="526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印尼中农</w:t>
      </w:r>
    </w:p>
    <w:p>
      <w:pPr>
        <w:framePr w:w="451" w:x="4007" w:y="52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526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526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5953" w:x="4503" w:y="52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沈阳万菱生物技术有限公司，本公司之全资孙公司</w:t>
      </w:r>
    </w:p>
    <w:p>
      <w:pPr>
        <w:framePr w:w="5953" w:x="4503" w:y="526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沈阳先达绿色农业科技有限公司，本公司之全资孙公司</w:t>
      </w:r>
    </w:p>
    <w:p>
      <w:pPr>
        <w:framePr w:w="5953" w:x="4503" w:y="526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印尼中农化学有限公司（</w:t>
      </w:r>
      <w:r>
        <w:rPr>
          <w:rFonts w:ascii="SimSun" w:eastAsiaTheme="minorEastAsia" w:hAnsiTheme="minorHAnsi" w:cstheme="minorBidi"/>
          <w:color w:val="000000"/>
          <w:sz w:val="21"/>
          <w:szCs w:val="22"/>
          <w:lang w:val="en-US" w:eastAsia="en-US" w:bidi="ar-SA"/>
        </w:rPr>
        <w:t>PT.SINOAGRO</w:t>
      </w:r>
      <w:r>
        <w:rPr>
          <w:rFonts w:ascii="SimSun"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CHEMICAL</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INDONESIA</w:t>
      </w:r>
      <w:r>
        <w:rPr>
          <w:rFonts w:ascii="SimSun" w:hAnsi="SimSun" w:eastAsiaTheme="minorEastAsia" w:cs="SimSun"/>
          <w:color w:val="000000"/>
          <w:spacing w:val="-35"/>
          <w:sz w:val="21"/>
          <w:szCs w:val="22"/>
          <w:lang w:val="en-US" w:eastAsia="en-US" w:bidi="ar-SA"/>
        </w:rPr>
        <w:t>），</w:t>
      </w:r>
    </w:p>
    <w:p>
      <w:pPr>
        <w:framePr w:w="5953" w:x="4503" w:y="526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本公司之全资孙公司</w:t>
      </w:r>
    </w:p>
    <w:p>
      <w:pPr>
        <w:framePr w:w="1085" w:x="1277" w:y="63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巴西光华</w:t>
      </w:r>
    </w:p>
    <w:p>
      <w:pPr>
        <w:framePr w:w="451" w:x="4007" w:y="63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5847" w:x="4503" w:y="63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9"/>
          <w:sz w:val="21"/>
          <w:szCs w:val="22"/>
          <w:lang w:val="en-US" w:eastAsia="en-US" w:bidi="ar-SA"/>
        </w:rPr>
        <w:t>巴西光华农化有限公司（</w:t>
      </w:r>
      <w:r>
        <w:rPr>
          <w:rFonts w:ascii="SimSun" w:eastAsiaTheme="minorEastAsia" w:hAnsiTheme="minorHAnsi" w:cstheme="minorBidi"/>
          <w:color w:val="000000"/>
          <w:sz w:val="21"/>
          <w:szCs w:val="22"/>
          <w:lang w:val="en-US" w:eastAsia="en-US" w:bidi="ar-SA"/>
        </w:rPr>
        <w:t>BRILLIANCE</w:t>
      </w:r>
      <w:r>
        <w:rPr>
          <w:rFonts w:ascii="SimSun" w:eastAsiaTheme="minorEastAsia" w:hAnsiTheme="minorHAnsi" w:cstheme="minorBidi"/>
          <w:color w:val="000000"/>
          <w:spacing w:val="2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PRODUTOS</w:t>
      </w:r>
      <w:r>
        <w:rPr>
          <w:rFonts w:ascii="SimSun" w:eastAsiaTheme="minorEastAsia" w:hAnsiTheme="minorHAnsi" w:cstheme="minorBidi"/>
          <w:color w:val="000000"/>
          <w:spacing w:val="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AGRICOLAS</w:t>
      </w:r>
    </w:p>
    <w:p>
      <w:pPr>
        <w:framePr w:w="5847" w:x="4503" w:y="638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LTDA</w:t>
      </w:r>
      <w:r>
        <w:rPr>
          <w:rFonts w:ascii="SimSun" w:hAnsi="SimSun" w:eastAsiaTheme="minorEastAsia" w:cs="SimSun"/>
          <w:color w:val="000000"/>
          <w:sz w:val="21"/>
          <w:szCs w:val="22"/>
          <w:lang w:val="en-US" w:eastAsia="en-US" w:bidi="ar-SA"/>
        </w:rPr>
        <w:t>），本公司之全资孙公司</w:t>
      </w:r>
    </w:p>
    <w:p>
      <w:pPr>
        <w:framePr w:w="874" w:x="1277" w:y="6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证监会</w:t>
      </w:r>
    </w:p>
    <w:p>
      <w:pPr>
        <w:framePr w:w="874" w:x="1277" w:y="693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上交所</w:t>
      </w:r>
    </w:p>
    <w:p>
      <w:pPr>
        <w:framePr w:w="874" w:x="1277" w:y="693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原药</w:t>
      </w:r>
    </w:p>
    <w:p>
      <w:pPr>
        <w:framePr w:w="451" w:x="4007" w:y="6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693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693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2563" w:x="4503" w:y="6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中国证券监督管理委员会</w:t>
      </w:r>
    </w:p>
    <w:p>
      <w:pPr>
        <w:framePr w:w="1718" w:x="4503" w:y="72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上海证券交易所</w:t>
      </w:r>
    </w:p>
    <w:p>
      <w:pPr>
        <w:framePr w:w="5847" w:x="4503" w:y="75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以化学加工活生物发酵等手段获得的农药物质是供应生产成</w:t>
      </w:r>
    </w:p>
    <w:p>
      <w:pPr>
        <w:framePr w:w="5847" w:x="4503" w:y="750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品药（制剂）的主要原料</w:t>
      </w:r>
    </w:p>
    <w:p>
      <w:pPr>
        <w:framePr w:w="662" w:x="1277" w:y="80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制剂</w:t>
      </w:r>
    </w:p>
    <w:p>
      <w:pPr>
        <w:framePr w:w="451" w:x="4007" w:y="80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5942" w:x="4503" w:y="80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原药经加工复配后，成为具有一定的形态、组分、性能、规格</w:t>
      </w:r>
    </w:p>
    <w:p>
      <w:pPr>
        <w:framePr w:w="5942" w:x="4503" w:y="805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和用途的产品，可以经稀释后直接用于农作物</w:t>
      </w:r>
    </w:p>
    <w:p>
      <w:pPr>
        <w:framePr w:w="5942" w:x="4503" w:y="805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以石油、煤、焦油为原料，制造农药原药的中间产物</w:t>
      </w:r>
    </w:p>
    <w:p>
      <w:pPr>
        <w:framePr w:w="5942" w:x="4503" w:y="805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用以防除农田杂草的农药</w:t>
      </w:r>
    </w:p>
    <w:p>
      <w:pPr>
        <w:framePr w:w="1296" w:x="1277" w:y="8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农药中间体</w:t>
      </w:r>
    </w:p>
    <w:p>
      <w:pPr>
        <w:framePr w:w="1296" w:x="1277" w:y="861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除草剂</w:t>
      </w:r>
    </w:p>
    <w:p>
      <w:pPr>
        <w:framePr w:w="451" w:x="4007" w:y="8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861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861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007" w:y="861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1507" w:x="1277" w:y="91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选择性除草剂</w:t>
      </w:r>
    </w:p>
    <w:p>
      <w:pPr>
        <w:framePr w:w="1507" w:x="1277" w:y="91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杀菌剂</w:t>
      </w:r>
    </w:p>
    <w:p>
      <w:pPr>
        <w:framePr w:w="4253" w:x="4503" w:y="91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对杂草或作物起草选择性灭杀作用的除草剂</w:t>
      </w:r>
    </w:p>
    <w:p>
      <w:pPr>
        <w:framePr w:w="4253" w:x="4503" w:y="91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用以防治植物病原微生物的农药</w:t>
      </w:r>
    </w:p>
    <w:p>
      <w:pPr>
        <w:framePr w:w="874" w:x="1277" w:y="97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w:t>
      </w:r>
    </w:p>
    <w:p>
      <w:pPr>
        <w:framePr w:w="4258" w:x="4007" w:y="97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r>
        <w:rPr>
          <w:rFonts w:eastAsiaTheme="minorEastAsia" w:hAnsiTheme="minorHAnsi" w:cstheme="minorBidi"/>
          <w:color w:val="000000"/>
          <w:spacing w:val="23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pacing w:val="1"/>
          <w:sz w:val="21"/>
          <w:szCs w:val="22"/>
          <w:lang w:val="en-US" w:eastAsia="en-US" w:bidi="ar-SA"/>
        </w:rPr>
        <w:t>日至</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p>
    <w:p>
      <w:pPr>
        <w:framePr w:w="4592" w:x="3516" w:y="10635"/>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第二节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1"/>
          <w:sz w:val="28"/>
          <w:szCs w:val="22"/>
          <w:lang w:val="en-US" w:eastAsia="en-US" w:bidi="ar-SA"/>
        </w:rPr>
        <w:t>公司简介和主要财务指标</w:t>
      </w:r>
    </w:p>
    <w:p>
      <w:pPr>
        <w:framePr w:w="1651" w:x="1277" w:y="11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w:t>
      </w:r>
      <w:r>
        <w:rPr>
          <w:rFonts w:eastAsiaTheme="minorEastAsia" w:hAnsiTheme="minorHAnsi" w:cstheme="minorBidi"/>
          <w:color w:val="000000"/>
          <w:spacing w:val="9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公司信息</w:t>
      </w:r>
    </w:p>
    <w:p>
      <w:pPr>
        <w:framePr w:w="2141" w:x="1277" w:y="118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公司的中文名称</w:t>
      </w:r>
    </w:p>
    <w:p>
      <w:pPr>
        <w:framePr w:w="2141" w:x="1277" w:y="11830"/>
        <w:widowControl w:val="0"/>
        <w:autoSpaceDE w:val="0"/>
        <w:autoSpaceDN w:val="0"/>
        <w:spacing w:before="9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公司的中文简称</w:t>
      </w:r>
    </w:p>
    <w:p>
      <w:pPr>
        <w:framePr w:w="2141" w:x="1277" w:y="11830"/>
        <w:widowControl w:val="0"/>
        <w:autoSpaceDE w:val="0"/>
        <w:autoSpaceDN w:val="0"/>
        <w:spacing w:before="9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公司的外文名称</w:t>
      </w:r>
    </w:p>
    <w:p>
      <w:pPr>
        <w:framePr w:w="2141" w:x="1277" w:y="11830"/>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公司的外文名称缩写</w:t>
      </w:r>
    </w:p>
    <w:p>
      <w:pPr>
        <w:framePr w:w="2141" w:x="1277" w:y="11830"/>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公司的法定代表人</w:t>
      </w:r>
    </w:p>
    <w:p>
      <w:pPr>
        <w:framePr w:w="2774" w:x="5135" w:y="118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山东先达农化股份有限公司</w:t>
      </w:r>
    </w:p>
    <w:p>
      <w:pPr>
        <w:framePr w:w="1085" w:x="5135" w:y="121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先达股份</w:t>
      </w:r>
    </w:p>
    <w:p>
      <w:pPr>
        <w:framePr w:w="3603" w:x="5135" w:y="124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SHANDONG</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CYNDA</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CHEMICAL</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CO.,LTD.</w:t>
      </w:r>
    </w:p>
    <w:p>
      <w:pPr>
        <w:framePr w:w="768" w:x="5135" w:y="127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CYNDA</w:t>
      </w:r>
    </w:p>
    <w:p>
      <w:pPr>
        <w:framePr w:w="874" w:x="5135" w:y="130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2426" w:x="1277" w:y="137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w:t>
      </w:r>
      <w:r>
        <w:rPr>
          <w:rFonts w:eastAsiaTheme="minorEastAsia" w:hAnsiTheme="minorHAnsi" w:cstheme="minorBidi"/>
          <w:color w:val="000000"/>
          <w:spacing w:val="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联系人和联系方式</w:t>
      </w:r>
    </w:p>
    <w:p>
      <w:pPr>
        <w:framePr w:w="1296" w:x="3800" w:y="142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董事会秘书</w:t>
      </w:r>
    </w:p>
    <w:p>
      <w:pPr>
        <w:framePr w:w="1296" w:x="3800" w:y="14277"/>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江广同</w:t>
      </w:r>
    </w:p>
    <w:p>
      <w:pPr>
        <w:framePr w:w="1507" w:x="7559" w:y="142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证券事务代表</w:t>
      </w:r>
    </w:p>
    <w:p>
      <w:pPr>
        <w:framePr w:w="1507" w:x="7559" w:y="14277"/>
        <w:widowControl w:val="0"/>
        <w:autoSpaceDE w:val="0"/>
        <w:autoSpaceDN w:val="0"/>
        <w:spacing w:before="72" w:line="211" w:lineRule="exact"/>
        <w:ind w:left="31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韩恩娟</w:t>
      </w:r>
    </w:p>
    <w:p>
      <w:pPr>
        <w:framePr w:w="662" w:x="1277" w:y="145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1085" w:x="1277" w:y="148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联系地址</w:t>
      </w:r>
    </w:p>
    <w:p>
      <w:pPr>
        <w:framePr w:w="7749" w:x="2441" w:y="148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山东省博兴县经济开发区兴博一路</w:t>
      </w: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z w:val="21"/>
          <w:szCs w:val="22"/>
          <w:lang w:val="en-US" w:eastAsia="en-US" w:bidi="ar-SA"/>
        </w:rPr>
        <w:t>号</w:t>
      </w:r>
      <w:r>
        <w:rPr>
          <w:rFonts w:eastAsiaTheme="minorEastAsia" w:hAnsiTheme="minorHAnsi" w:cstheme="minorBidi"/>
          <w:color w:val="000000"/>
          <w:spacing w:val="98"/>
          <w:sz w:val="21"/>
          <w:szCs w:val="22"/>
          <w:lang w:val="en-US" w:eastAsia="en-US" w:bidi="ar-SA"/>
        </w:rPr>
        <w:t xml:space="preserve"> </w:t>
      </w:r>
      <w:r>
        <w:rPr>
          <w:rFonts w:ascii="SimSun" w:hAnsi="SimSun" w:eastAsiaTheme="minorEastAsia" w:cs="SimSun"/>
          <w:color w:val="000000"/>
          <w:sz w:val="21"/>
          <w:szCs w:val="22"/>
          <w:lang w:val="en-US" w:eastAsia="en-US" w:bidi="ar-SA"/>
        </w:rPr>
        <w:t>山东省博兴县经济开发区兴博一路</w:t>
      </w: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z w:val="21"/>
          <w:szCs w:val="22"/>
          <w:lang w:val="en-US" w:eastAsia="en-US" w:bidi="ar-SA"/>
        </w:rPr>
        <w:t>号</w:t>
      </w:r>
    </w:p>
    <w:p>
      <w:pPr>
        <w:framePr w:w="756" w:x="5435"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29" type="#_x0000_t75" style="width:445.6pt;height:2.7pt;margin-top:53.5pt;margin-left:61.4pt;mso-position-horizontal-relative:page;mso-position-vertical-relative:page;position:absolute;z-index:-251231232">
            <v:imagedata r:id="rId7" o:title=""/>
          </v:shape>
        </w:pict>
      </w:r>
      <w:r>
        <w:rPr>
          <w:noProof/>
        </w:rPr>
        <w:pict>
          <v:shape id="_x0000_s1030" type="#_x0000_t75" style="width:455pt;height:367.1pt;margin-top:133.6pt;margin-left:57.2pt;mso-position-horizontal-relative:page;mso-position-vertical-relative:page;position:absolute;z-index:-251319296">
            <v:imagedata r:id="rId8" o:title=""/>
          </v:shape>
        </w:pict>
      </w:r>
      <w:r>
        <w:rPr>
          <w:noProof/>
        </w:rPr>
        <w:pict>
          <v:shape id="_x0000_s1031" type="#_x0000_t75" style="width:447.3pt;height:78.25pt;margin-top:588.55pt;margin-left:61.05pt;mso-position-horizontal-relative:page;mso-position-vertical-relative:page;position:absolute;z-index:-251454464">
            <v:imagedata r:id="rId9" o:title=""/>
          </v:shape>
        </w:pict>
      </w:r>
      <w:r>
        <w:rPr>
          <w:noProof/>
        </w:rPr>
        <w:pict>
          <v:shape id="_x0000_s1032" type="#_x0000_t75" style="width:447.3pt;height:44.85pt;margin-top:710.85pt;margin-left:61.05pt;mso-position-horizontal-relative:page;mso-position-vertical-relative:page;position:absolute;z-index:-251655168">
            <v:imagedata r:id="rId10" o:title=""/>
          </v:shape>
        </w:pict>
      </w:r>
    </w:p>
    <w:p>
      <w:pPr>
        <w:spacing w:line="0" w:lineRule="atLeast"/>
        <w:rPr>
          <w:rFonts w:ascii="Arial" w:eastAsiaTheme="minorEastAsia" w:hAnsiTheme="minorHAnsi" w:cstheme="minorBidi"/>
          <w:color w:val="FF0000"/>
          <w:sz w:val="2"/>
          <w:szCs w:val="22"/>
          <w:lang w:val="en-US" w:eastAsia="en-US" w:bidi="ar-SA"/>
        </w:rPr>
      </w:pPr>
      <w:bookmarkStart w:id="4" w:name="br1_3"/>
      <w:bookmarkEnd w:id="4"/>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1277" w:y="1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电话</w:t>
      </w:r>
    </w:p>
    <w:p>
      <w:pPr>
        <w:framePr w:w="662" w:x="1277" w:y="14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传真</w:t>
      </w:r>
    </w:p>
    <w:p>
      <w:pPr>
        <w:framePr w:w="1507" w:x="2441"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0543-2328187</w:t>
      </w:r>
    </w:p>
    <w:p>
      <w:pPr>
        <w:framePr w:w="1507" w:x="2441" w:y="14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0543-2311216</w:t>
      </w:r>
    </w:p>
    <w:p>
      <w:pPr>
        <w:framePr w:w="1507" w:x="6270"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0543-2328187</w:t>
      </w:r>
    </w:p>
    <w:p>
      <w:pPr>
        <w:framePr w:w="1507" w:x="6270" w:y="17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0543-2311216</w:t>
      </w:r>
    </w:p>
    <w:p>
      <w:pPr>
        <w:framePr w:w="2878" w:x="1277" w:y="20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电子信箱</w:t>
      </w:r>
      <w:r>
        <w:rPr>
          <w:rFonts w:eastAsiaTheme="minorEastAsia" w:hAnsiTheme="minorHAnsi" w:cstheme="minorBidi"/>
          <w:color w:val="000000"/>
          <w:spacing w:val="27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cynda@cynda.cn</w:t>
      </w:r>
    </w:p>
    <w:p>
      <w:pPr>
        <w:framePr w:w="1718" w:x="6270" w:y="20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cynda@cynda.cn</w:t>
      </w:r>
    </w:p>
    <w:p>
      <w:pPr>
        <w:framePr w:w="2004" w:x="1277" w:y="2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w:t>
      </w:r>
      <w:r>
        <w:rPr>
          <w:rFonts w:eastAsiaTheme="minorEastAsia" w:hAnsiTheme="minorHAnsi" w:cstheme="minorBidi"/>
          <w:color w:val="000000"/>
          <w:spacing w:val="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基本情况简介</w:t>
      </w:r>
    </w:p>
    <w:p>
      <w:pPr>
        <w:framePr w:w="1507" w:x="1277"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公司注册地址</w:t>
      </w:r>
    </w:p>
    <w:p>
      <w:pPr>
        <w:framePr w:w="2563" w:x="5135"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山东省博兴县经济开发区</w:t>
      </w:r>
    </w:p>
    <w:p>
      <w:pPr>
        <w:framePr w:w="2563" w:x="5135" w:y="3240"/>
        <w:widowControl w:val="0"/>
        <w:autoSpaceDE w:val="0"/>
        <w:autoSpaceDN w:val="0"/>
        <w:spacing w:before="91"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256500</w:t>
      </w:r>
    </w:p>
    <w:p>
      <w:pPr>
        <w:framePr w:w="2563" w:x="1277" w:y="35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公司注册地址的邮政编码</w:t>
      </w:r>
    </w:p>
    <w:p>
      <w:pPr>
        <w:framePr w:w="2563" w:x="1277" w:y="3542"/>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公司办公地址</w:t>
      </w:r>
    </w:p>
    <w:p>
      <w:pPr>
        <w:framePr w:w="3936" w:x="5135" w:y="38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山东省博兴县经济开发区兴博一路</w:t>
      </w: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z w:val="21"/>
          <w:szCs w:val="22"/>
          <w:lang w:val="en-US" w:eastAsia="en-US" w:bidi="ar-SA"/>
        </w:rPr>
        <w:t>号</w:t>
      </w:r>
    </w:p>
    <w:p>
      <w:pPr>
        <w:framePr w:w="3936" w:x="5135" w:y="3844"/>
        <w:widowControl w:val="0"/>
        <w:autoSpaceDE w:val="0"/>
        <w:autoSpaceDN w:val="0"/>
        <w:spacing w:before="9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256500</w:t>
      </w:r>
    </w:p>
    <w:p>
      <w:pPr>
        <w:framePr w:w="2563" w:x="1277" w:y="4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公司办公地址的邮政编码</w:t>
      </w:r>
    </w:p>
    <w:p>
      <w:pPr>
        <w:framePr w:w="2563" w:x="1277" w:y="4149"/>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公司网址</w:t>
      </w:r>
    </w:p>
    <w:p>
      <w:pPr>
        <w:framePr w:w="1507" w:x="5135" w:y="44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www.cynda.cn</w:t>
      </w:r>
    </w:p>
    <w:p>
      <w:pPr>
        <w:framePr w:w="1085" w:x="1277" w:y="47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电子信箱</w:t>
      </w:r>
    </w:p>
    <w:p>
      <w:pPr>
        <w:framePr w:w="1718" w:x="5135" w:y="47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cynda@cynda.cn</w:t>
      </w:r>
    </w:p>
    <w:p>
      <w:pPr>
        <w:framePr w:w="2638" w:x="1277" w:y="54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w:t>
      </w:r>
      <w:r>
        <w:rPr>
          <w:rFonts w:eastAsiaTheme="minorEastAsia" w:hAnsiTheme="minorHAnsi" w:cstheme="minorBidi"/>
          <w:color w:val="000000"/>
          <w:spacing w:val="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信息披露及备置地点</w:t>
      </w:r>
    </w:p>
    <w:p>
      <w:pPr>
        <w:framePr w:w="2986" w:x="1277" w:y="5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公司选定的信息披露媒体名称</w:t>
      </w:r>
    </w:p>
    <w:p>
      <w:pPr>
        <w:framePr w:w="4675" w:x="5418" w:y="5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中国证券报、上海证券报、证券时报、证券日报</w:t>
      </w:r>
    </w:p>
    <w:p>
      <w:pPr>
        <w:framePr w:w="5854" w:x="1277" w:y="62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登载年度报告的中国证监会指定网站的网址</w:t>
      </w:r>
      <w:r>
        <w:rPr>
          <w:rFonts w:eastAsiaTheme="minorEastAsia" w:hAnsiTheme="minorHAnsi" w:cstheme="minorBidi"/>
          <w:color w:val="000000"/>
          <w:spacing w:val="9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www.sse.com.cn</w:t>
      </w:r>
    </w:p>
    <w:p>
      <w:pPr>
        <w:framePr w:w="2352" w:x="1277" w:y="65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公司年度报告备置地点</w:t>
      </w:r>
    </w:p>
    <w:p>
      <w:pPr>
        <w:framePr w:w="2352" w:x="1277" w:y="6595"/>
        <w:widowControl w:val="0"/>
        <w:autoSpaceDE w:val="0"/>
        <w:autoSpaceDN w:val="0"/>
        <w:spacing w:before="48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w:t>
      </w:r>
      <w:r>
        <w:rPr>
          <w:rFonts w:eastAsiaTheme="minorEastAsia" w:hAnsiTheme="minorHAnsi" w:cstheme="minorBidi"/>
          <w:color w:val="000000"/>
          <w:spacing w:val="9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公司股票简况</w:t>
      </w:r>
    </w:p>
    <w:p>
      <w:pPr>
        <w:framePr w:w="1507" w:x="5418" w:y="65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董事会办公室</w:t>
      </w:r>
    </w:p>
    <w:p>
      <w:pPr>
        <w:framePr w:w="1507" w:x="5063" w:y="7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公司股票简况</w:t>
      </w:r>
    </w:p>
    <w:p>
      <w:pPr>
        <w:framePr w:w="1085" w:x="1716" w:y="8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股票种类</w:t>
      </w:r>
    </w:p>
    <w:p>
      <w:pPr>
        <w:framePr w:w="1718" w:x="3176" w:y="8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股票上市交易所</w:t>
      </w:r>
    </w:p>
    <w:p>
      <w:pPr>
        <w:framePr w:w="1718" w:x="3176" w:y="8131"/>
        <w:widowControl w:val="0"/>
        <w:autoSpaceDE w:val="0"/>
        <w:autoSpaceDN w:val="0"/>
        <w:spacing w:before="91"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上交所</w:t>
      </w:r>
    </w:p>
    <w:p>
      <w:pPr>
        <w:framePr w:w="1085" w:x="5271" w:y="8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股票简称</w:t>
      </w:r>
    </w:p>
    <w:p>
      <w:pPr>
        <w:framePr w:w="1085" w:x="5271" w:y="8131"/>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先达股份</w:t>
      </w:r>
    </w:p>
    <w:p>
      <w:pPr>
        <w:framePr w:w="1085" w:x="7053" w:y="8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股票代码</w:t>
      </w:r>
    </w:p>
    <w:p>
      <w:pPr>
        <w:framePr w:w="1718" w:x="8514" w:y="8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变更前股票简称</w:t>
      </w:r>
    </w:p>
    <w:p>
      <w:pPr>
        <w:framePr w:w="557" w:x="1978" w:y="84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A</w:t>
      </w:r>
      <w:r>
        <w:rPr>
          <w:rFonts w:ascii="SimSun" w:hAnsi="SimSun" w:eastAsiaTheme="minorEastAsia" w:cs="SimSun"/>
          <w:color w:val="000000"/>
          <w:sz w:val="21"/>
          <w:szCs w:val="22"/>
          <w:lang w:val="en-US" w:eastAsia="en-US" w:bidi="ar-SA"/>
        </w:rPr>
        <w:t>股</w:t>
      </w:r>
    </w:p>
    <w:p>
      <w:pPr>
        <w:framePr w:w="874" w:x="7156" w:y="84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603086</w:t>
      </w:r>
    </w:p>
    <w:p>
      <w:pPr>
        <w:framePr w:w="346" w:x="9199" w:y="84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004" w:x="1277" w:y="91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w:t>
      </w:r>
      <w:r>
        <w:rPr>
          <w:rFonts w:eastAsiaTheme="minorEastAsia" w:hAnsiTheme="minorHAnsi" w:cstheme="minorBidi"/>
          <w:color w:val="000000"/>
          <w:spacing w:val="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其他相关资料</w:t>
      </w:r>
    </w:p>
    <w:p>
      <w:pPr>
        <w:framePr w:w="662" w:x="4271" w:y="96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4290" w:x="6063" w:y="96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大华会计师事务所（特殊普通合伙）</w:t>
      </w:r>
    </w:p>
    <w:p>
      <w:pPr>
        <w:framePr w:w="4290" w:x="6063" w:y="967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深圳市福田区滨河大道</w:t>
      </w:r>
      <w:r>
        <w:rPr>
          <w:rFonts w:eastAsiaTheme="minorEastAsia" w:hAnsiTheme="minorHAnsi" w:cstheme="minorBidi"/>
          <w:color w:val="000000"/>
          <w:spacing w:val="-1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5022</w:t>
      </w:r>
      <w:r>
        <w:rPr>
          <w:rFonts w:ascii="SimSun" w:hAnsi="SimSun" w:eastAsiaTheme="minorEastAsia" w:cs="SimSun"/>
          <w:color w:val="000000"/>
          <w:sz w:val="21"/>
          <w:szCs w:val="22"/>
          <w:lang w:val="en-US" w:eastAsia="en-US" w:bidi="ar-SA"/>
        </w:rPr>
        <w:t>号联合广场</w:t>
      </w:r>
      <w:r>
        <w:rPr>
          <w:rFonts w:eastAsiaTheme="minorEastAsia" w:hAnsiTheme="minorHAnsi" w:cstheme="minorBidi"/>
          <w:color w:val="000000"/>
          <w:spacing w:val="-12"/>
          <w:sz w:val="21"/>
          <w:szCs w:val="22"/>
          <w:lang w:val="en-US" w:eastAsia="en-US" w:bidi="ar-SA"/>
        </w:rPr>
        <w:t xml:space="preserve"> </w:t>
      </w:r>
      <w:r>
        <w:rPr>
          <w:rFonts w:ascii="SimSun" w:eastAsiaTheme="minorEastAsia" w:hAnsiTheme="minorHAnsi" w:cstheme="minorBidi"/>
          <w:color w:val="000000"/>
          <w:spacing w:val="41"/>
          <w:sz w:val="21"/>
          <w:szCs w:val="22"/>
          <w:lang w:val="en-US" w:eastAsia="en-US" w:bidi="ar-SA"/>
        </w:rPr>
        <w:t>9</w:t>
      </w:r>
      <w:r>
        <w:rPr>
          <w:rFonts w:ascii="SimSun" w:hAnsi="SimSun" w:eastAsiaTheme="minorEastAsia" w:cs="SimSun"/>
          <w:color w:val="000000"/>
          <w:sz w:val="21"/>
          <w:szCs w:val="22"/>
          <w:lang w:val="en-US" w:eastAsia="en-US" w:bidi="ar-SA"/>
        </w:rPr>
        <w:t>楼</w:t>
      </w:r>
    </w:p>
    <w:p>
      <w:pPr>
        <w:framePr w:w="4290" w:x="6063" w:y="967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张媛媛、陈磊</w:t>
      </w:r>
    </w:p>
    <w:p>
      <w:pPr>
        <w:framePr w:w="3019" w:x="1277" w:y="98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公司聘请的会计师事务所（境</w:t>
      </w:r>
    </w:p>
    <w:p>
      <w:pPr>
        <w:framePr w:w="3019" w:x="1277" w:y="981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内）</w:t>
      </w:r>
    </w:p>
    <w:p>
      <w:pPr>
        <w:framePr w:w="1718" w:x="4271" w:y="99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办公地址</w:t>
      </w:r>
    </w:p>
    <w:p>
      <w:pPr>
        <w:framePr w:w="1718" w:x="4271" w:y="995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签字会计师姓名</w:t>
      </w:r>
    </w:p>
    <w:p>
      <w:pPr>
        <w:framePr w:w="3689" w:x="1277" w:y="109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eastAsiaTheme="minorEastAsia" w:hAnsiTheme="minorHAnsi" w:cstheme="minorBidi"/>
          <w:color w:val="000000"/>
          <w:spacing w:val="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近三年主要会计数据和财务指标</w:t>
      </w:r>
    </w:p>
    <w:p>
      <w:pPr>
        <w:framePr w:w="1927" w:x="1277" w:y="1141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主要会计数据</w:t>
      </w:r>
    </w:p>
    <w:p>
      <w:pPr>
        <w:framePr w:w="2585" w:x="7768" w:y="11965"/>
        <w:widowControl w:val="0"/>
        <w:autoSpaceDE w:val="0"/>
        <w:autoSpaceDN w:val="0"/>
        <w:spacing w:line="211" w:lineRule="exact"/>
        <w:ind w:left="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85" w:x="7768" w:y="11965"/>
        <w:widowControl w:val="0"/>
        <w:autoSpaceDE w:val="0"/>
        <w:autoSpaceDN w:val="0"/>
        <w:spacing w:before="3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本期比上年同期</w:t>
      </w:r>
    </w:p>
    <w:p>
      <w:pPr>
        <w:framePr w:w="1507" w:x="1424" w:y="126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主要会计数据</w:t>
      </w:r>
    </w:p>
    <w:p>
      <w:pPr>
        <w:framePr w:w="874" w:x="4316" w:y="126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z w:val="21"/>
          <w:szCs w:val="22"/>
          <w:lang w:val="en-US" w:eastAsia="en-US" w:bidi="ar-SA"/>
        </w:rPr>
        <w:t>年</w:t>
      </w:r>
    </w:p>
    <w:p>
      <w:pPr>
        <w:framePr w:w="874" w:x="6301" w:y="126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z w:val="21"/>
          <w:szCs w:val="22"/>
          <w:lang w:val="en-US" w:eastAsia="en-US" w:bidi="ar-SA"/>
        </w:rPr>
        <w:t>年</w:t>
      </w:r>
    </w:p>
    <w:p>
      <w:pPr>
        <w:framePr w:w="874" w:x="10106" w:y="126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2018</w:t>
      </w:r>
      <w:r>
        <w:rPr>
          <w:rFonts w:ascii="SimSun" w:hAnsi="SimSun" w:eastAsiaTheme="minorEastAsia" w:cs="SimSun"/>
          <w:color w:val="000000"/>
          <w:sz w:val="21"/>
          <w:szCs w:val="22"/>
          <w:lang w:val="en-US" w:eastAsia="en-US" w:bidi="ar-SA"/>
        </w:rPr>
        <w:t>年</w:t>
      </w:r>
    </w:p>
    <w:p>
      <w:pPr>
        <w:framePr w:w="1354" w:x="8137" w:y="128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增减</w:t>
      </w:r>
      <w:r>
        <w:rPr>
          <w:rFonts w:ascii="SimSun" w:eastAsiaTheme="minorEastAsia" w:hAnsiTheme="minorHAnsi" w:cstheme="minorBidi"/>
          <w:color w:val="000000"/>
          <w:spacing w:val="-1"/>
          <w:sz w:val="21"/>
          <w:szCs w:val="22"/>
          <w:lang w:val="en-US" w:eastAsia="en-US" w:bidi="ar-SA"/>
        </w:rPr>
        <w:t>(%)</w:t>
      </w:r>
    </w:p>
    <w:p>
      <w:pPr>
        <w:framePr w:w="1354" w:x="8137" w:y="12820"/>
        <w:widowControl w:val="0"/>
        <w:autoSpaceDE w:val="0"/>
        <w:autoSpaceDN w:val="0"/>
        <w:spacing w:before="96" w:line="211" w:lineRule="exact"/>
        <w:ind w:left="58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20.39</w:t>
      </w:r>
    </w:p>
    <w:p>
      <w:pPr>
        <w:framePr w:w="1085" w:x="533" w:y="131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930" w:x="3793" w:y="131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1,895,595,666.25</w:t>
      </w:r>
    </w:p>
    <w:p>
      <w:pPr>
        <w:framePr w:w="1930" w:x="3793" w:y="13127"/>
        <w:widowControl w:val="0"/>
        <w:autoSpaceDE w:val="0"/>
        <w:autoSpaceDN w:val="0"/>
        <w:spacing w:before="84"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176,034,335.10</w:t>
      </w:r>
    </w:p>
    <w:p>
      <w:pPr>
        <w:framePr w:w="1930" w:x="3793" w:y="13127"/>
        <w:widowControl w:val="0"/>
        <w:autoSpaceDE w:val="0"/>
        <w:autoSpaceDN w:val="0"/>
        <w:spacing w:before="84"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164,940,201.50</w:t>
      </w:r>
    </w:p>
    <w:p>
      <w:pPr>
        <w:framePr w:w="1930" w:x="5864" w:y="131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1,574,570,054.14</w:t>
      </w:r>
    </w:p>
    <w:p>
      <w:pPr>
        <w:framePr w:w="1930" w:x="5864" w:y="13127"/>
        <w:widowControl w:val="0"/>
        <w:autoSpaceDE w:val="0"/>
        <w:autoSpaceDN w:val="0"/>
        <w:spacing w:before="84"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204,618,341.01</w:t>
      </w:r>
    </w:p>
    <w:p>
      <w:pPr>
        <w:framePr w:w="1930" w:x="5864" w:y="13127"/>
        <w:widowControl w:val="0"/>
        <w:autoSpaceDE w:val="0"/>
        <w:autoSpaceDN w:val="0"/>
        <w:spacing w:before="84"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212,593,825.35</w:t>
      </w:r>
    </w:p>
    <w:p>
      <w:pPr>
        <w:framePr w:w="1930" w:x="9698" w:y="131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1,635,892,405.79</w:t>
      </w:r>
    </w:p>
    <w:p>
      <w:pPr>
        <w:framePr w:w="1930" w:x="9698" w:y="13127"/>
        <w:widowControl w:val="0"/>
        <w:autoSpaceDE w:val="0"/>
        <w:autoSpaceDN w:val="0"/>
        <w:spacing w:before="84"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251,047,737.55</w:t>
      </w:r>
    </w:p>
    <w:p>
      <w:pPr>
        <w:framePr w:w="1930" w:x="9698" w:y="13127"/>
        <w:widowControl w:val="0"/>
        <w:autoSpaceDE w:val="0"/>
        <w:autoSpaceDN w:val="0"/>
        <w:spacing w:before="84"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239,207,285.88</w:t>
      </w:r>
    </w:p>
    <w:p>
      <w:pPr>
        <w:framePr w:w="3283" w:x="533" w:y="134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归属于上市公司股东的净利润</w:t>
      </w:r>
    </w:p>
    <w:p>
      <w:pPr>
        <w:framePr w:w="3283" w:x="533" w:y="13422"/>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归属于上市公司股东的扣除非经</w:t>
      </w:r>
    </w:p>
    <w:p>
      <w:pPr>
        <w:framePr w:w="3283" w:x="533" w:y="1342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常性损益的净利润</w:t>
      </w:r>
    </w:p>
    <w:p>
      <w:pPr>
        <w:framePr w:w="874" w:x="8617" w:y="1342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-13.97</w:t>
      </w:r>
    </w:p>
    <w:p>
      <w:pPr>
        <w:framePr w:w="874" w:x="8617" w:y="13422"/>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-22.42</w:t>
      </w:r>
    </w:p>
    <w:p>
      <w:pPr>
        <w:framePr w:w="2986" w:x="533" w:y="142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1718" w:x="4002" w:y="142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361,385,546.72</w:t>
      </w:r>
    </w:p>
    <w:p>
      <w:pPr>
        <w:framePr w:w="1718" w:x="6073" w:y="142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399,562,923.76</w:t>
      </w:r>
    </w:p>
    <w:p>
      <w:pPr>
        <w:framePr w:w="1724" w:x="7768" w:y="14272"/>
        <w:widowControl w:val="0"/>
        <w:autoSpaceDE w:val="0"/>
        <w:autoSpaceDN w:val="0"/>
        <w:spacing w:line="211" w:lineRule="exact"/>
        <w:ind w:left="95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-9.55</w:t>
      </w:r>
    </w:p>
    <w:p>
      <w:pPr>
        <w:framePr w:w="1724" w:x="7768" w:y="14272"/>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本期末比上年同</w:t>
      </w:r>
    </w:p>
    <w:p>
      <w:pPr>
        <w:framePr w:w="1724" w:x="7768" w:y="14272"/>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期末增减（</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718" w:x="9907" w:y="142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157,396,781.82</w:t>
      </w:r>
    </w:p>
    <w:p>
      <w:pPr>
        <w:framePr w:w="1085" w:x="4213" w:y="147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年末</w:t>
      </w:r>
    </w:p>
    <w:p>
      <w:pPr>
        <w:framePr w:w="1085" w:x="6195" w:y="147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pacing w:val="-1"/>
          <w:sz w:val="21"/>
          <w:szCs w:val="22"/>
          <w:lang w:val="en-US" w:eastAsia="en-US" w:bidi="ar-SA"/>
        </w:rPr>
        <w:t>年末</w:t>
      </w:r>
    </w:p>
    <w:p>
      <w:pPr>
        <w:framePr w:w="1085" w:x="10000" w:y="147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2018</w:t>
      </w:r>
      <w:r>
        <w:rPr>
          <w:rFonts w:ascii="SimSun" w:hAnsi="SimSun" w:eastAsiaTheme="minorEastAsia" w:cs="SimSun"/>
          <w:color w:val="000000"/>
          <w:spacing w:val="-1"/>
          <w:sz w:val="21"/>
          <w:szCs w:val="22"/>
          <w:lang w:val="en-US" w:eastAsia="en-US" w:bidi="ar-SA"/>
        </w:rPr>
        <w:t>年末</w:t>
      </w:r>
    </w:p>
    <w:p>
      <w:pPr>
        <w:framePr w:w="756" w:x="5435"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33" type="#_x0000_t75" style="width:445.6pt;height:2.7pt;margin-top:53.5pt;margin-left:61.4pt;mso-position-horizontal-relative:page;mso-position-vertical-relative:page;position:absolute;z-index:-251181056">
            <v:imagedata r:id="rId11" o:title=""/>
          </v:shape>
        </w:pict>
      </w:r>
      <w:r>
        <w:rPr>
          <w:noProof/>
        </w:rPr>
        <w:pict>
          <v:shape id="_x0000_s1034" type="#_x0000_t75" style="width:447.3pt;height:44.85pt;margin-top:70.1pt;margin-left:61.05pt;mso-position-horizontal-relative:page;mso-position-vertical-relative:page;position:absolute;z-index:-251183104">
            <v:imagedata r:id="rId12" o:title=""/>
          </v:shape>
        </w:pict>
      </w:r>
      <w:r>
        <w:rPr>
          <w:noProof/>
        </w:rPr>
        <w:pict>
          <v:shape id="_x0000_s1035" type="#_x0000_t75" style="width:447.3pt;height:93.3pt;margin-top:159pt;margin-left:61.05pt;mso-position-horizontal-relative:page;mso-position-vertical-relative:page;position:absolute;z-index:-251192320">
            <v:imagedata r:id="rId13" o:title=""/>
          </v:shape>
        </w:pict>
      </w:r>
      <w:r>
        <w:rPr>
          <w:noProof/>
        </w:rPr>
        <w:pict>
          <v:shape id="_x0000_s1036" type="#_x0000_t75" style="width:447.3pt;height:47.95pt;margin-top:296.45pt;margin-left:61.05pt;mso-position-horizontal-relative:page;mso-position-vertical-relative:page;position:absolute;z-index:-251230208">
            <v:imagedata r:id="rId14" o:title=""/>
          </v:shape>
        </w:pict>
      </w:r>
      <w:r>
        <w:rPr>
          <w:noProof/>
        </w:rPr>
        <w:pict>
          <v:shape id="_x0000_s1037" type="#_x0000_t75" style="width:447.3pt;height:47.95pt;margin-top:388.5pt;margin-left:61.05pt;mso-position-horizontal-relative:page;mso-position-vertical-relative:page;position:absolute;z-index:-251318272">
            <v:imagedata r:id="rId15" o:title=""/>
          </v:shape>
        </w:pict>
      </w:r>
      <w:r>
        <w:rPr>
          <w:noProof/>
        </w:rPr>
        <w:pict>
          <v:shape id="_x0000_s1038" type="#_x0000_t75" style="width:455pt;height:44.85pt;margin-top:480.45pt;margin-left:57.2pt;mso-position-horizontal-relative:page;mso-position-vertical-relative:page;position:absolute;z-index:-251453440">
            <v:imagedata r:id="rId16" o:title=""/>
          </v:shape>
        </w:pict>
      </w:r>
      <w:r>
        <w:rPr>
          <w:noProof/>
        </w:rPr>
        <w:pict>
          <v:shape id="_x0000_s1039" type="#_x0000_t75" style="width:555.55pt;height:132.55pt;margin-top:623pt;margin-left:20pt;mso-position-horizontal-relative:page;mso-position-vertical-relative:page;position:absolute;z-index:-251654144">
            <v:imagedata r:id="rId17" o:title=""/>
          </v:shape>
        </w:pict>
      </w:r>
    </w:p>
    <w:p>
      <w:pPr>
        <w:spacing w:line="0" w:lineRule="atLeast"/>
        <w:rPr>
          <w:rFonts w:ascii="Arial" w:eastAsiaTheme="minorEastAsia" w:hAnsiTheme="minorHAnsi" w:cstheme="minorBidi"/>
          <w:color w:val="FF0000"/>
          <w:sz w:val="2"/>
          <w:szCs w:val="22"/>
          <w:lang w:val="en-US" w:eastAsia="en-US" w:bidi="ar-SA"/>
        </w:rPr>
      </w:pPr>
      <w:bookmarkStart w:id="5" w:name="br1_4"/>
      <w:bookmarkEnd w:id="5"/>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986" w:x="533" w:y="1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归属于上市公司股东的净资产</w:t>
      </w:r>
    </w:p>
    <w:p>
      <w:pPr>
        <w:framePr w:w="2986" w:x="533" w:y="1461"/>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总资产</w:t>
      </w:r>
    </w:p>
    <w:p>
      <w:pPr>
        <w:framePr w:w="3819" w:x="3793"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1,703,781,974.56</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1,557,176,380.70</w:t>
      </w:r>
    </w:p>
    <w:p>
      <w:pPr>
        <w:framePr w:w="3819" w:x="3793" w:y="1461"/>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2,335,002,206.40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2,304,145,473.28</w:t>
      </w:r>
    </w:p>
    <w:p>
      <w:pPr>
        <w:framePr w:w="662" w:x="8829"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9.41</w:t>
      </w:r>
    </w:p>
    <w:p>
      <w:pPr>
        <w:framePr w:w="662" w:x="8829" w:y="1461"/>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1.34</w:t>
      </w:r>
    </w:p>
    <w:p>
      <w:pPr>
        <w:framePr w:w="1930" w:x="9698"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1,357,256,285.96</w:t>
      </w:r>
    </w:p>
    <w:p>
      <w:pPr>
        <w:framePr w:w="1930" w:x="9698" w:y="1461"/>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1,729,926,879.72</w:t>
      </w:r>
    </w:p>
    <w:p>
      <w:pPr>
        <w:framePr w:w="662" w:x="1277"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z w:val="21"/>
          <w:szCs w:val="22"/>
          <w:lang w:val="en-US" w:eastAsia="en-US" w:bidi="ar-SA"/>
        </w:rPr>
        <w:t>)</w:t>
      </w:r>
    </w:p>
    <w:p>
      <w:pPr>
        <w:framePr w:w="2014" w:x="2117"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主要财务指标</w:t>
      </w:r>
    </w:p>
    <w:p>
      <w:pPr>
        <w:framePr w:w="2014" w:x="2117" w:y="2112"/>
        <w:widowControl w:val="0"/>
        <w:autoSpaceDE w:val="0"/>
        <w:autoSpaceDN w:val="0"/>
        <w:spacing w:before="132" w:line="211" w:lineRule="exact"/>
        <w:ind w:left="5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主要财务指标</w:t>
      </w:r>
    </w:p>
    <w:p>
      <w:pPr>
        <w:framePr w:w="1724" w:x="5922" w:y="2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6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z w:val="21"/>
          <w:szCs w:val="22"/>
          <w:lang w:val="en-US" w:eastAsia="en-US" w:bidi="ar-SA"/>
        </w:rPr>
        <w:t>年</w:t>
      </w:r>
    </w:p>
    <w:p>
      <w:pPr>
        <w:framePr w:w="2585" w:x="7756" w:y="24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本期比上年同期增减</w:t>
      </w:r>
      <w:r>
        <w:rPr>
          <w:rFonts w:ascii="SimSun" w:eastAsiaTheme="minorEastAsia" w:hAnsiTheme="minorHAnsi" w:cstheme="minorBidi"/>
          <w:color w:val="000000"/>
          <w:spacing w:val="1"/>
          <w:sz w:val="21"/>
          <w:szCs w:val="22"/>
          <w:lang w:val="en-US" w:eastAsia="en-US" w:bidi="ar-SA"/>
        </w:rPr>
        <w:t>(%)</w:t>
      </w:r>
    </w:p>
    <w:p>
      <w:pPr>
        <w:framePr w:w="2585" w:x="7756" w:y="2455"/>
        <w:widowControl w:val="0"/>
        <w:autoSpaceDE w:val="0"/>
        <w:autoSpaceDN w:val="0"/>
        <w:spacing w:before="70" w:line="211" w:lineRule="exact"/>
        <w:ind w:left="171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-13.85</w:t>
      </w:r>
    </w:p>
    <w:p>
      <w:pPr>
        <w:framePr w:w="946" w:x="10389" w:y="2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2018</w:t>
      </w:r>
      <w:r>
        <w:rPr>
          <w:rFonts w:ascii="SimSun" w:hAnsi="SimSun" w:eastAsiaTheme="minorEastAsia" w:cs="SimSun"/>
          <w:color w:val="000000"/>
          <w:sz w:val="21"/>
          <w:szCs w:val="22"/>
          <w:lang w:val="en-US" w:eastAsia="en-US" w:bidi="ar-SA"/>
        </w:rPr>
        <w:t>年</w:t>
      </w:r>
    </w:p>
    <w:p>
      <w:pPr>
        <w:framePr w:w="946" w:x="10389" w:y="2455"/>
        <w:widowControl w:val="0"/>
        <w:autoSpaceDE w:val="0"/>
        <w:autoSpaceDN w:val="0"/>
        <w:spacing w:before="70" w:line="211" w:lineRule="exact"/>
        <w:ind w:left="28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2.24</w:t>
      </w:r>
    </w:p>
    <w:p>
      <w:pPr>
        <w:framePr w:w="2563" w:x="816" w:y="27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基本每股收益（元／股）</w:t>
      </w:r>
    </w:p>
    <w:p>
      <w:pPr>
        <w:framePr w:w="662" w:x="6135" w:y="273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1.12</w:t>
      </w:r>
    </w:p>
    <w:p>
      <w:pPr>
        <w:framePr w:w="662" w:x="6135" w:y="273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1.12</w:t>
      </w:r>
    </w:p>
    <w:p>
      <w:pPr>
        <w:framePr w:w="662" w:x="6985" w:y="273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1.30</w:t>
      </w:r>
    </w:p>
    <w:p>
      <w:pPr>
        <w:framePr w:w="662" w:x="6985" w:y="273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1.30</w:t>
      </w:r>
    </w:p>
    <w:p>
      <w:pPr>
        <w:framePr w:w="662" w:x="6985" w:y="273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1.36</w:t>
      </w:r>
    </w:p>
    <w:p>
      <w:pPr>
        <w:framePr w:w="662" w:x="6985" w:y="273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8.92</w:t>
      </w:r>
    </w:p>
    <w:p>
      <w:pPr>
        <w:framePr w:w="662" w:x="6985" w:y="273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8.93</w:t>
      </w:r>
    </w:p>
    <w:p>
      <w:pPr>
        <w:framePr w:w="2563" w:x="816" w:y="30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稀释每股收益（元／股）</w:t>
      </w:r>
    </w:p>
    <w:p>
      <w:pPr>
        <w:framePr w:w="874" w:x="9468" w:y="30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-13.85</w:t>
      </w:r>
    </w:p>
    <w:p>
      <w:pPr>
        <w:framePr w:w="662" w:x="10672" w:y="30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2.24</w:t>
      </w:r>
    </w:p>
    <w:p>
      <w:pPr>
        <w:framePr w:w="4675" w:x="816" w:y="33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扣除非经常性损益后的基本每股收益（元／股）</w:t>
      </w:r>
    </w:p>
    <w:p>
      <w:pPr>
        <w:framePr w:w="4675" w:x="816" w:y="330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加权平均净资产收益率（</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662" w:x="6135" w:y="33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1.05</w:t>
      </w:r>
    </w:p>
    <w:p>
      <w:pPr>
        <w:framePr w:w="874" w:x="9468" w:y="33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-22.79</w:t>
      </w:r>
    </w:p>
    <w:p>
      <w:pPr>
        <w:framePr w:w="662" w:x="10672" w:y="33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2.14</w:t>
      </w:r>
    </w:p>
    <w:p>
      <w:pPr>
        <w:framePr w:w="768" w:x="6030" w:y="35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10.81</w:t>
      </w:r>
    </w:p>
    <w:p>
      <w:pPr>
        <w:framePr w:w="768" w:x="6030" w:y="35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10.14</w:t>
      </w:r>
    </w:p>
    <w:p>
      <w:pPr>
        <w:framePr w:w="1930" w:x="8418" w:y="35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增加</w:t>
      </w:r>
      <w:r>
        <w:rPr>
          <w:rFonts w:ascii="SimSun" w:eastAsiaTheme="minorEastAsia" w:hAnsiTheme="minorHAnsi" w:cstheme="minorBidi"/>
          <w:color w:val="000000"/>
          <w:sz w:val="21"/>
          <w:szCs w:val="22"/>
          <w:lang w:val="en-US" w:eastAsia="en-US" w:bidi="ar-SA"/>
        </w:rPr>
        <w:t>1.89</w:t>
      </w:r>
      <w:r>
        <w:rPr>
          <w:rFonts w:ascii="SimSun" w:hAnsi="SimSun" w:eastAsiaTheme="minorEastAsia" w:cs="SimSun"/>
          <w:color w:val="000000"/>
          <w:sz w:val="21"/>
          <w:szCs w:val="22"/>
          <w:lang w:val="en-US" w:eastAsia="en-US" w:bidi="ar-SA"/>
        </w:rPr>
        <w:t>个百分点</w:t>
      </w:r>
    </w:p>
    <w:p>
      <w:pPr>
        <w:framePr w:w="1930" w:x="8418" w:y="35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增加</w:t>
      </w:r>
      <w:r>
        <w:rPr>
          <w:rFonts w:ascii="SimSun" w:eastAsiaTheme="minorEastAsia" w:hAnsiTheme="minorHAnsi" w:cstheme="minorBidi"/>
          <w:color w:val="000000"/>
          <w:sz w:val="21"/>
          <w:szCs w:val="22"/>
          <w:lang w:val="en-US" w:eastAsia="en-US" w:bidi="ar-SA"/>
        </w:rPr>
        <w:t>1.21</w:t>
      </w:r>
      <w:r>
        <w:rPr>
          <w:rFonts w:ascii="SimSun" w:hAnsi="SimSun" w:eastAsiaTheme="minorEastAsia" w:cs="SimSun"/>
          <w:color w:val="000000"/>
          <w:sz w:val="21"/>
          <w:szCs w:val="22"/>
          <w:lang w:val="en-US" w:eastAsia="en-US" w:bidi="ar-SA"/>
        </w:rPr>
        <w:t>个百分点</w:t>
      </w:r>
    </w:p>
    <w:p>
      <w:pPr>
        <w:framePr w:w="768" w:x="10567" w:y="35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20.28</w:t>
      </w:r>
    </w:p>
    <w:p>
      <w:pPr>
        <w:framePr w:w="768" w:x="10567" w:y="35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19.33</w:t>
      </w:r>
    </w:p>
    <w:p>
      <w:pPr>
        <w:framePr w:w="4992" w:x="816" w:y="38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扣除非经常性损益后的加权平均净资产收益率（</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5098" w:x="1277" w:y="44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报告期末公司前三年主要会计数据和财务指标的说明</w:t>
      </w:r>
    </w:p>
    <w:p>
      <w:pPr>
        <w:framePr w:w="5098" w:x="1277" w:y="442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22" w:x="1277" w:y="508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日召开</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年年度股东大会，审议通过了《关于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年度利润分配</w:t>
      </w:r>
    </w:p>
    <w:p>
      <w:pPr>
        <w:framePr w:w="9322" w:x="1277" w:y="50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及资本公积金转增股本预案的议案》，同意以截至</w:t>
      </w:r>
      <w:r>
        <w:rPr>
          <w:rFonts w:eastAsiaTheme="minorEastAsia" w:hAnsiTheme="minorHAnsi" w:cstheme="minorBidi"/>
          <w:color w:val="000000"/>
          <w:spacing w:val="1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日总股本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w:t>
      </w:r>
      <w:r>
        <w:rPr>
          <w:rFonts w:ascii="SimSun" w:hAnsi="SimSun" w:eastAsiaTheme="minorEastAsia" w:cs="SimSun"/>
          <w:color w:val="000000"/>
          <w:sz w:val="21"/>
          <w:szCs w:val="22"/>
          <w:lang w:val="en-US" w:eastAsia="en-US" w:bidi="ar-SA"/>
        </w:rPr>
        <w:t>万股为基数，</w:t>
      </w:r>
    </w:p>
    <w:p>
      <w:pPr>
        <w:framePr w:w="9322" w:x="1277" w:y="50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向全体股东每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股派现金股利</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w:t>
      </w:r>
      <w:r>
        <w:rPr>
          <w:rFonts w:ascii="SimSun" w:hAnsi="SimSun" w:eastAsiaTheme="minorEastAsia" w:cs="SimSun"/>
          <w:color w:val="000000"/>
          <w:spacing w:val="-18"/>
          <w:sz w:val="21"/>
          <w:szCs w:val="22"/>
          <w:lang w:val="en-US" w:eastAsia="en-US" w:bidi="ar-SA"/>
        </w:rPr>
        <w:t>元人民币（含税），共计派发现金股利</w:t>
      </w:r>
      <w:r>
        <w:rPr>
          <w:rFonts w:eastAsiaTheme="minorEastAsia" w:hAnsiTheme="minorHAnsi" w:cstheme="minorBidi"/>
          <w:color w:val="000000"/>
          <w:spacing w:val="2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3,360.00</w:t>
      </w:r>
      <w:r>
        <w:rPr>
          <w:rFonts w:ascii="SimSun" w:hAnsi="SimSun" w:eastAsiaTheme="minorEastAsia" w:cs="SimSun"/>
          <w:color w:val="000000"/>
          <w:spacing w:val="-29"/>
          <w:sz w:val="21"/>
          <w:szCs w:val="22"/>
          <w:lang w:val="en-US" w:eastAsia="en-US" w:bidi="ar-SA"/>
        </w:rPr>
        <w:t>万元（含税）；</w:t>
      </w:r>
    </w:p>
    <w:p>
      <w:pPr>
        <w:framePr w:w="9322" w:x="1277" w:y="508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同时以资本公积转增股本方式向全体股东每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pacing w:val="-1"/>
          <w:sz w:val="21"/>
          <w:szCs w:val="22"/>
          <w:lang w:val="en-US" w:eastAsia="en-US" w:bidi="ar-SA"/>
        </w:rPr>
        <w:t>股转增</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4</w:t>
      </w:r>
      <w:r>
        <w:rPr>
          <w:rFonts w:ascii="SimSun" w:hAnsi="SimSun" w:eastAsiaTheme="minorEastAsia" w:cs="SimSun"/>
          <w:color w:val="000000"/>
          <w:sz w:val="21"/>
          <w:szCs w:val="22"/>
          <w:lang w:val="en-US" w:eastAsia="en-US" w:bidi="ar-SA"/>
        </w:rPr>
        <w:t>股，合计转增</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4,480.00</w:t>
      </w:r>
      <w:r>
        <w:rPr>
          <w:rFonts w:ascii="SimSun" w:hAnsi="SimSun" w:eastAsiaTheme="minorEastAsia" w:cs="SimSun"/>
          <w:color w:val="000000"/>
          <w:sz w:val="21"/>
          <w:szCs w:val="22"/>
          <w:lang w:val="en-US" w:eastAsia="en-US" w:bidi="ar-SA"/>
        </w:rPr>
        <w:t>万股，转增后公</w:t>
      </w:r>
    </w:p>
    <w:p>
      <w:pPr>
        <w:framePr w:w="9322" w:x="1277" w:y="50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司总股本为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w:t>
      </w:r>
      <w:r>
        <w:rPr>
          <w:rFonts w:ascii="SimSun" w:hAnsi="SimSun" w:eastAsiaTheme="minorEastAsia" w:cs="SimSun"/>
          <w:color w:val="000000"/>
          <w:sz w:val="21"/>
          <w:szCs w:val="22"/>
          <w:lang w:val="en-US" w:eastAsia="en-US" w:bidi="ar-SA"/>
        </w:rPr>
        <w:t>万股。上述事项于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月实施完毕。</w:t>
      </w:r>
    </w:p>
    <w:p>
      <w:pPr>
        <w:framePr w:w="9110" w:x="1277" w:y="724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w:t>
      </w:r>
      <w:r>
        <w:rPr>
          <w:rFonts w:ascii="SimSun" w:hAnsi="SimSun" w:eastAsiaTheme="minorEastAsia" w:cs="SimSun"/>
          <w:color w:val="000000"/>
          <w:sz w:val="21"/>
          <w:szCs w:val="22"/>
          <w:lang w:val="en-US" w:eastAsia="en-US" w:bidi="ar-SA"/>
        </w:rPr>
        <w:t>日召开</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年第一次临时股东大会，审议通过了《关于公司</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p>
    <w:p>
      <w:pPr>
        <w:framePr w:w="9110" w:x="1277" w:y="72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限制性股票激励计划（草案）及其摘要的议案》等相关事项，公司于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日在中国证</w:t>
      </w:r>
    </w:p>
    <w:p>
      <w:pPr>
        <w:framePr w:w="9110" w:x="1277" w:y="72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券登记结算有限责任公司上海分公司完成</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4"/>
          <w:sz w:val="21"/>
          <w:szCs w:val="22"/>
          <w:lang w:val="en-US" w:eastAsia="en-US" w:bidi="ar-SA"/>
        </w:rPr>
        <w:t>年限制性股票激励计划授予登记工作，公司总股本</w:t>
      </w:r>
    </w:p>
    <w:p>
      <w:pPr>
        <w:framePr w:w="9110" w:x="1277" w:y="724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由</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w:t>
      </w:r>
      <w:r>
        <w:rPr>
          <w:rFonts w:ascii="SimSun" w:hAnsi="SimSun" w:eastAsiaTheme="minorEastAsia" w:cs="SimSun"/>
          <w:color w:val="000000"/>
          <w:sz w:val="21"/>
          <w:szCs w:val="22"/>
          <w:lang w:val="en-US" w:eastAsia="en-US" w:bidi="ar-SA"/>
        </w:rPr>
        <w:t>万股变更为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15,849</w:t>
      </w:r>
      <w:r>
        <w:rPr>
          <w:rFonts w:ascii="SimSun" w:hAnsi="SimSun" w:eastAsiaTheme="minorEastAsia" w:cs="SimSun"/>
          <w:color w:val="000000"/>
          <w:sz w:val="21"/>
          <w:szCs w:val="22"/>
          <w:lang w:val="en-US" w:eastAsia="en-US" w:bidi="ar-SA"/>
        </w:rPr>
        <w:t>万股。</w:t>
      </w:r>
    </w:p>
    <w:p>
      <w:pPr>
        <w:framePr w:w="8688" w:x="1697" w:y="90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根据《企业会计准则第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34</w:t>
      </w:r>
      <w:r>
        <w:rPr>
          <w:rFonts w:ascii="SimSun" w:hAnsi="SimSun" w:eastAsiaTheme="minorEastAsia" w:cs="SimSun"/>
          <w:color w:val="000000"/>
          <w:spacing w:val="-2"/>
          <w:sz w:val="21"/>
          <w:szCs w:val="22"/>
          <w:lang w:val="en-US" w:eastAsia="en-US" w:bidi="ar-SA"/>
        </w:rPr>
        <w:t>号—每股收益》有关规定，在实施资本公积转增股本后，为保持会</w:t>
      </w:r>
    </w:p>
    <w:p>
      <w:pPr>
        <w:framePr w:w="9011" w:x="1277" w:y="94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计指标的前后可比性，公司以调整后的总股数对</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pacing w:val="1"/>
          <w:sz w:val="21"/>
          <w:szCs w:val="22"/>
          <w:lang w:val="en-US" w:eastAsia="en-US" w:bidi="ar-SA"/>
        </w:rPr>
        <w:t>年度、</w:t>
      </w: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年度的每股收益进行了重新计</w:t>
      </w:r>
    </w:p>
    <w:p>
      <w:pPr>
        <w:framePr w:w="662" w:x="1277" w:y="9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算。</w:t>
      </w:r>
    </w:p>
    <w:p>
      <w:pPr>
        <w:framePr w:w="3689" w:x="1277" w:y="103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八、</w:t>
      </w:r>
      <w:r>
        <w:rPr>
          <w:rFonts w:eastAsiaTheme="minorEastAsia" w:hAnsiTheme="minorHAnsi" w:cstheme="minorBidi"/>
          <w:color w:val="000000"/>
          <w:spacing w:val="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境内外会计准则下会计数据差异</w:t>
      </w:r>
    </w:p>
    <w:p>
      <w:pPr>
        <w:framePr w:w="9072" w:x="1277" w:y="1085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6"/>
          <w:sz w:val="21"/>
          <w:szCs w:val="22"/>
          <w:lang w:val="en-US" w:eastAsia="en-US" w:bidi="ar-SA"/>
        </w:rPr>
        <w:t>同时按照国际会计准则与按中国会计准则披露的财务报告中净利润和归属于上市公司股东</w:t>
      </w:r>
    </w:p>
    <w:p>
      <w:pPr>
        <w:framePr w:w="1930" w:x="1697" w:y="112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的净资产差异情况</w:t>
      </w:r>
    </w:p>
    <w:p>
      <w:pPr>
        <w:framePr w:w="1817" w:x="1277" w:y="11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3" w:x="1277" w:y="1232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pacing w:val="23"/>
          <w:sz w:val="21"/>
          <w:szCs w:val="22"/>
          <w:lang w:val="en-US" w:eastAsia="en-US" w:bidi="ar-SA"/>
        </w:rPr>
        <w:t>)</w:t>
      </w:r>
      <w:r>
        <w:rPr>
          <w:rFonts w:ascii="SimSun" w:hAnsi="SimSun" w:eastAsiaTheme="minorEastAsia" w:cs="SimSun"/>
          <w:color w:val="000000"/>
          <w:spacing w:val="2"/>
          <w:sz w:val="21"/>
          <w:szCs w:val="22"/>
          <w:lang w:val="en-US" w:eastAsia="en-US" w:bidi="ar-SA"/>
        </w:rPr>
        <w:t>同时按照境外会计准则与按中国会计准则披露的财务报告中净利润和归属于上市公司股东的</w:t>
      </w:r>
    </w:p>
    <w:p>
      <w:pPr>
        <w:framePr w:w="1718" w:x="1644" w:y="12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净资产差异情况</w:t>
      </w:r>
    </w:p>
    <w:p>
      <w:pPr>
        <w:framePr w:w="1817" w:x="1277" w:y="132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1" w:x="1277" w:y="13789"/>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境内外会计准则差异的说明：</w:t>
      </w:r>
    </w:p>
    <w:p>
      <w:pPr>
        <w:framePr w:w="3401" w:x="1277" w:y="13789"/>
        <w:widowControl w:val="0"/>
        <w:autoSpaceDE w:val="0"/>
        <w:autoSpaceDN w:val="0"/>
        <w:spacing w:before="29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56" w:x="5435"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0" type="#_x0000_t75" style="width:445.6pt;height:2.7pt;margin-top:53.5pt;margin-left:61.4pt;mso-position-horizontal-relative:page;mso-position-vertical-relative:page;position:absolute;z-index:-251317248">
            <v:imagedata r:id="rId18" o:title=""/>
          </v:shape>
        </w:pict>
      </w:r>
      <w:r>
        <w:rPr>
          <w:noProof/>
        </w:rPr>
        <w:pict>
          <v:shape id="_x0000_s1041" type="#_x0000_t75" style="width:555.55pt;height:32pt;margin-top:70.1pt;margin-left:20pt;mso-position-horizontal-relative:page;mso-position-vertical-relative:page;position:absolute;z-index:-251452416">
            <v:imagedata r:id="rId19" o:title=""/>
          </v:shape>
        </w:pict>
      </w:r>
      <w:r>
        <w:rPr>
          <w:noProof/>
        </w:rPr>
        <w:pict>
          <v:shape id="_x0000_s1042" type="#_x0000_t75" style="width:527.1pt;height:87.3pt;margin-top:119.65pt;margin-left:34.3pt;mso-position-horizontal-relative:page;mso-position-vertical-relative:page;position:absolute;z-index:-251653120">
            <v:imagedata r:id="rId20" o:title=""/>
          </v:shape>
        </w:pict>
      </w:r>
    </w:p>
    <w:p>
      <w:pPr>
        <w:spacing w:line="0" w:lineRule="atLeast"/>
        <w:rPr>
          <w:rFonts w:ascii="Arial" w:eastAsiaTheme="minorEastAsia" w:hAnsiTheme="minorHAnsi" w:cstheme="minorBidi"/>
          <w:color w:val="FF0000"/>
          <w:sz w:val="2"/>
          <w:szCs w:val="22"/>
          <w:lang w:val="en-US" w:eastAsia="en-US" w:bidi="ar-SA"/>
        </w:rPr>
      </w:pPr>
      <w:bookmarkStart w:id="6" w:name="br1_5"/>
      <w:bookmarkEnd w:id="6"/>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365" w:x="1277" w:y="1442"/>
        <w:widowControl w:val="0"/>
        <w:autoSpaceDE w:val="0"/>
        <w:autoSpaceDN w:val="0"/>
        <w:spacing w:line="236"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九、</w:t>
      </w:r>
      <w:r>
        <w:rPr>
          <w:rFonts w:eastAsiaTheme="minorEastAsia" w:hAnsiTheme="minorHAnsi" w:cstheme="minorBidi"/>
          <w:color w:val="000000"/>
          <w:spacing w:val="22"/>
          <w:sz w:val="21"/>
          <w:szCs w:val="22"/>
          <w:lang w:val="en-US" w:eastAsia="en-US" w:bidi="ar-SA"/>
        </w:rPr>
        <w:t xml:space="preserve"> </w:t>
      </w:r>
      <w:r>
        <w:rPr>
          <w:rFonts w:ascii="Arial" w:eastAsiaTheme="minorEastAsia" w:hAnsiTheme="minorHAnsi" w:cstheme="minorBidi"/>
          <w:b/>
          <w:color w:val="000000"/>
          <w:spacing w:val="1"/>
          <w:sz w:val="21"/>
          <w:szCs w:val="22"/>
          <w:lang w:val="en-US" w:eastAsia="en-US" w:bidi="ar-SA"/>
        </w:rPr>
        <w:t>2020</w:t>
      </w:r>
      <w:r>
        <w:rPr>
          <w:rFonts w:eastAsiaTheme="minorEastAsia" w:hAnsiTheme="minorHAnsi" w:cstheme="minorBidi"/>
          <w:b/>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年分季度主要财务数据</w:t>
      </w:r>
    </w:p>
    <w:p>
      <w:pPr>
        <w:framePr w:w="2554" w:x="7799" w:y="1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450" w:x="3793" w:y="2066"/>
        <w:widowControl w:val="0"/>
        <w:autoSpaceDE w:val="0"/>
        <w:autoSpaceDN w:val="0"/>
        <w:spacing w:line="211" w:lineRule="exact"/>
        <w:ind w:left="18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第一季度</w:t>
      </w:r>
    </w:p>
    <w:p>
      <w:pPr>
        <w:framePr w:w="1450" w:x="3793" w:y="206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1-3</w:t>
      </w:r>
      <w:r>
        <w:rPr>
          <w:rFonts w:ascii="SimSun" w:hAnsi="SimSun" w:eastAsiaTheme="minorEastAsia" w:cs="SimSun"/>
          <w:color w:val="000000"/>
          <w:sz w:val="21"/>
          <w:szCs w:val="22"/>
          <w:lang w:val="en-US" w:eastAsia="en-US" w:bidi="ar-SA"/>
        </w:rPr>
        <w:t>月份）</w:t>
      </w:r>
    </w:p>
    <w:p>
      <w:pPr>
        <w:framePr w:w="1085" w:x="5689"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第二季度</w:t>
      </w:r>
    </w:p>
    <w:p>
      <w:pPr>
        <w:framePr w:w="1085" w:x="7533"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第三季度</w:t>
      </w:r>
    </w:p>
    <w:p>
      <w:pPr>
        <w:framePr w:w="1085" w:x="9504"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第四季度</w:t>
      </w:r>
    </w:p>
    <w:p>
      <w:pPr>
        <w:framePr w:w="1450" w:x="5507" w:y="23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4-6</w:t>
      </w:r>
      <w:r>
        <w:rPr>
          <w:rFonts w:ascii="SimSun" w:hAnsi="SimSun" w:eastAsiaTheme="minorEastAsia" w:cs="SimSun"/>
          <w:color w:val="000000"/>
          <w:sz w:val="21"/>
          <w:szCs w:val="22"/>
          <w:lang w:val="en-US" w:eastAsia="en-US" w:bidi="ar-SA"/>
        </w:rPr>
        <w:t>月份）</w:t>
      </w:r>
    </w:p>
    <w:p>
      <w:pPr>
        <w:framePr w:w="1450" w:x="7350" w:y="23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7-9</w:t>
      </w:r>
      <w:r>
        <w:rPr>
          <w:rFonts w:ascii="SimSun" w:hAnsi="SimSun" w:eastAsiaTheme="minorEastAsia" w:cs="SimSun"/>
          <w:color w:val="000000"/>
          <w:sz w:val="21"/>
          <w:szCs w:val="22"/>
          <w:lang w:val="en-US" w:eastAsia="en-US" w:bidi="ar-SA"/>
        </w:rPr>
        <w:t>月份）</w:t>
      </w:r>
    </w:p>
    <w:p>
      <w:pPr>
        <w:framePr w:w="1836" w:x="9216" w:y="23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10-12</w:t>
      </w:r>
      <w:r>
        <w:rPr>
          <w:rFonts w:ascii="SimSun" w:hAnsi="SimSun" w:eastAsiaTheme="minorEastAsia" w:cs="SimSun"/>
          <w:color w:val="000000"/>
          <w:sz w:val="21"/>
          <w:szCs w:val="22"/>
          <w:lang w:val="en-US" w:eastAsia="en-US" w:bidi="ar-SA"/>
        </w:rPr>
        <w:t>月份）</w:t>
      </w:r>
    </w:p>
    <w:p>
      <w:pPr>
        <w:framePr w:w="1836" w:x="9216" w:y="2340"/>
        <w:widowControl w:val="0"/>
        <w:autoSpaceDE w:val="0"/>
        <w:autoSpaceDN w:val="0"/>
        <w:spacing w:before="70" w:line="211" w:lineRule="exact"/>
        <w:ind w:left="12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564,382,536.30</w:t>
      </w:r>
    </w:p>
    <w:p>
      <w:pPr>
        <w:framePr w:w="1836" w:x="9216" w:y="2340"/>
        <w:widowControl w:val="0"/>
        <w:autoSpaceDE w:val="0"/>
        <w:autoSpaceDN w:val="0"/>
        <w:spacing w:before="72" w:line="211" w:lineRule="exact"/>
        <w:ind w:left="22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53,656,277.11</w:t>
      </w:r>
    </w:p>
    <w:p>
      <w:pPr>
        <w:framePr w:w="1085" w:x="674" w:y="26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3442" w:x="3668" w:y="2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368,138,134.73</w:t>
      </w:r>
      <w:r>
        <w:rPr>
          <w:rFonts w:ascii="SimSun" w:eastAsiaTheme="minorEastAsia" w:hAnsiTheme="minorHAnsi" w:cstheme="minorBidi"/>
          <w:color w:val="000000"/>
          <w:spacing w:val="15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597,371,937.28</w:t>
      </w:r>
    </w:p>
    <w:p>
      <w:pPr>
        <w:framePr w:w="1718" w:x="7353" w:y="2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365,703,057.94</w:t>
      </w:r>
    </w:p>
    <w:p>
      <w:pPr>
        <w:framePr w:w="1718" w:x="7353" w:y="262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26,522,967.52</w:t>
      </w:r>
    </w:p>
    <w:p>
      <w:pPr>
        <w:framePr w:w="6436" w:x="674" w:y="29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归属于上市公司股东的净利润</w:t>
      </w:r>
      <w:r>
        <w:rPr>
          <w:rFonts w:eastAsiaTheme="minorEastAsia" w:hAnsiTheme="minorHAnsi" w:cstheme="minorBidi"/>
          <w:color w:val="000000"/>
          <w:spacing w:val="31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24,946,636.61</w:t>
      </w:r>
      <w:r>
        <w:rPr>
          <w:rFonts w:ascii="SimSun" w:eastAsiaTheme="minorEastAsia" w:hAnsiTheme="minorHAnsi" w:cstheme="minorBidi"/>
          <w:color w:val="000000"/>
          <w:spacing w:val="25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70,908,453.86</w:t>
      </w:r>
    </w:p>
    <w:p>
      <w:pPr>
        <w:framePr w:w="2986" w:x="674" w:y="31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归属于上市公司股东的扣除非</w:t>
      </w:r>
    </w:p>
    <w:p>
      <w:pPr>
        <w:framePr w:w="3337" w:x="3773" w:y="33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26,789,021.13</w:t>
      </w:r>
      <w:r>
        <w:rPr>
          <w:rFonts w:ascii="SimSun" w:eastAsiaTheme="minorEastAsia" w:hAnsiTheme="minorHAnsi" w:cstheme="minorBidi"/>
          <w:color w:val="000000"/>
          <w:spacing w:val="25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78,956,666.08</w:t>
      </w:r>
    </w:p>
    <w:p>
      <w:pPr>
        <w:framePr w:w="1718" w:x="7353" w:y="3321"/>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22,468,759.71</w:t>
      </w:r>
    </w:p>
    <w:p>
      <w:pPr>
        <w:framePr w:w="1718" w:x="7353" w:y="3321"/>
        <w:widowControl w:val="0"/>
        <w:autoSpaceDE w:val="0"/>
        <w:autoSpaceDN w:val="0"/>
        <w:spacing w:before="20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222,523,513.17</w:t>
      </w:r>
    </w:p>
    <w:p>
      <w:pPr>
        <w:framePr w:w="1613" w:x="9444" w:y="33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36,725,754.58</w:t>
      </w:r>
    </w:p>
    <w:p>
      <w:pPr>
        <w:framePr w:w="1613" w:x="9444" w:y="3321"/>
        <w:widowControl w:val="0"/>
        <w:autoSpaceDE w:val="0"/>
        <w:autoSpaceDN w:val="0"/>
        <w:spacing w:before="20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92,633,205.77</w:t>
      </w:r>
    </w:p>
    <w:p>
      <w:pPr>
        <w:framePr w:w="2352" w:x="674" w:y="3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经常性损益后的净利润</w:t>
      </w:r>
    </w:p>
    <w:p>
      <w:pPr>
        <w:framePr w:w="6436" w:x="674" w:y="37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r>
        <w:rPr>
          <w:rFonts w:eastAsiaTheme="minorEastAsia" w:hAnsiTheme="minorHAnsi" w:cstheme="minorBidi"/>
          <w:color w:val="000000"/>
          <w:spacing w:val="31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-5,625,279.46</w:t>
      </w:r>
      <w:r>
        <w:rPr>
          <w:rFonts w:ascii="SimSun" w:eastAsiaTheme="minorEastAsia" w:hAnsiTheme="minorHAnsi" w:cstheme="minorBidi"/>
          <w:color w:val="000000"/>
          <w:spacing w:val="2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51,854,107.24</w:t>
      </w:r>
    </w:p>
    <w:p>
      <w:pPr>
        <w:framePr w:w="4042" w:x="1277" w:y="4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季度数据与已披露定期报告数据差异说明</w:t>
      </w:r>
    </w:p>
    <w:p>
      <w:pPr>
        <w:framePr w:w="1922" w:x="1277" w:y="46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58" w:x="1277" w:y="5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w:t>
      </w:r>
      <w:r>
        <w:rPr>
          <w:rFonts w:eastAsiaTheme="minorEastAsia" w:hAnsiTheme="minorHAnsi" w:cstheme="minorBidi"/>
          <w:color w:val="000000"/>
          <w:spacing w:val="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非经常性损益项目和金额</w:t>
      </w:r>
    </w:p>
    <w:p>
      <w:pPr>
        <w:framePr w:w="1817" w:x="1277" w:y="55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43" w:x="8010" w:y="58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1085" w:x="7341" w:y="61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6"/>
          <w:sz w:val="21"/>
          <w:szCs w:val="22"/>
          <w:lang w:val="en-US" w:eastAsia="en-US" w:bidi="ar-SA"/>
        </w:rPr>
        <w:t>附注（如</w:t>
      </w:r>
    </w:p>
    <w:p>
      <w:pPr>
        <w:framePr w:w="1085" w:x="7341" w:y="6147"/>
        <w:widowControl w:val="0"/>
        <w:autoSpaceDE w:val="0"/>
        <w:autoSpaceDN w:val="0"/>
        <w:spacing w:before="62" w:line="211" w:lineRule="exact"/>
        <w:ind w:left="7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p>
    <w:p>
      <w:pPr>
        <w:framePr w:w="3598" w:x="391" w:y="6283"/>
        <w:widowControl w:val="0"/>
        <w:autoSpaceDE w:val="0"/>
        <w:autoSpaceDN w:val="0"/>
        <w:spacing w:line="211" w:lineRule="exact"/>
        <w:ind w:left="167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非经常性损益项目</w:t>
      </w:r>
    </w:p>
    <w:p>
      <w:pPr>
        <w:framePr w:w="3598" w:x="391" w:y="6283"/>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非流动资产处置损益</w:t>
      </w:r>
    </w:p>
    <w:p>
      <w:pPr>
        <w:framePr w:w="1344" w:x="5831" w:y="62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年金额</w:t>
      </w:r>
    </w:p>
    <w:p>
      <w:pPr>
        <w:framePr w:w="1345" w:x="8524" w:y="62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年金额</w:t>
      </w:r>
    </w:p>
    <w:p>
      <w:pPr>
        <w:framePr w:w="1344" w:x="10224" w:y="62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年金额</w:t>
      </w:r>
    </w:p>
    <w:p>
      <w:pPr>
        <w:framePr w:w="1190" w:x="6179" w:y="67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-9,382.26</w:t>
      </w:r>
    </w:p>
    <w:p>
      <w:pPr>
        <w:framePr w:w="1190" w:x="8872" w:y="67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25,056.16</w:t>
      </w:r>
    </w:p>
    <w:p>
      <w:pPr>
        <w:framePr w:w="1402" w:x="10363" w:y="67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-526,500.87</w:t>
      </w:r>
    </w:p>
    <w:p>
      <w:pPr>
        <w:framePr w:w="5309" w:x="391" w:y="69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越权审批，或无正式批准文件，或偶发性的税收返还、</w:t>
      </w:r>
    </w:p>
    <w:p>
      <w:pPr>
        <w:framePr w:w="5309" w:x="391" w:y="698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减免</w:t>
      </w:r>
    </w:p>
    <w:p>
      <w:pPr>
        <w:framePr w:w="5309" w:x="391" w:y="75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计入当期损益的政府补助，但与公司正常经营业务密切</w:t>
      </w:r>
    </w:p>
    <w:p>
      <w:pPr>
        <w:framePr w:w="5309" w:x="391" w:y="753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相关，符合国家政策规定、按照一定标准定额或定量持</w:t>
      </w:r>
    </w:p>
    <w:p>
      <w:pPr>
        <w:framePr w:w="5309" w:x="391" w:y="753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续享受的政府补助除外</w:t>
      </w:r>
    </w:p>
    <w:p>
      <w:pPr>
        <w:framePr w:w="1507" w:x="5864" w:y="75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6,586,100.30</w:t>
      </w:r>
    </w:p>
    <w:p>
      <w:pPr>
        <w:framePr w:w="1507" w:x="8557" w:y="75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5,167,432.51</w:t>
      </w:r>
    </w:p>
    <w:p>
      <w:pPr>
        <w:framePr w:w="1507" w:x="10257" w:y="75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6,261,879.02</w:t>
      </w:r>
    </w:p>
    <w:p>
      <w:pPr>
        <w:framePr w:w="5309" w:x="391" w:y="83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计入当期损益的对非金融企业收取的资金占用费</w:t>
      </w:r>
    </w:p>
    <w:p>
      <w:pPr>
        <w:framePr w:w="5309" w:x="391" w:y="836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企业取得子公司、联营企业及合营企业的投资成本小于</w:t>
      </w:r>
    </w:p>
    <w:p>
      <w:pPr>
        <w:framePr w:w="5309" w:x="391" w:y="8367"/>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取得投资时应享有被投资单位可辨认净资产公允价值</w:t>
      </w:r>
    </w:p>
    <w:p>
      <w:pPr>
        <w:framePr w:w="5309" w:x="391" w:y="836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产生的收益</w:t>
      </w:r>
    </w:p>
    <w:p>
      <w:pPr>
        <w:framePr w:w="2352" w:x="391" w:y="94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非货币性资产交换损益</w:t>
      </w:r>
    </w:p>
    <w:p>
      <w:pPr>
        <w:framePr w:w="5309" w:x="391" w:y="97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委托他人投资或管理资产的损益</w:t>
      </w:r>
    </w:p>
    <w:p>
      <w:pPr>
        <w:framePr w:w="5309" w:x="391" w:y="975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因不可抗力因素，如遭受自然灾害而计提的各项资产减</w:t>
      </w:r>
    </w:p>
    <w:p>
      <w:pPr>
        <w:framePr w:w="5309" w:x="391" w:y="975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值准备</w:t>
      </w:r>
    </w:p>
    <w:p>
      <w:pPr>
        <w:framePr w:w="1507" w:x="5864" w:y="9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8,098,122.24</w:t>
      </w:r>
    </w:p>
    <w:p>
      <w:pPr>
        <w:framePr w:w="1507" w:x="8557" w:y="9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7,050,079.49</w:t>
      </w:r>
    </w:p>
    <w:p>
      <w:pPr>
        <w:framePr w:w="1507" w:x="10257" w:y="9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9,049,081.06</w:t>
      </w:r>
    </w:p>
    <w:p>
      <w:pPr>
        <w:framePr w:w="1507" w:x="391" w:y="10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债务重组损益</w:t>
      </w:r>
    </w:p>
    <w:p>
      <w:pPr>
        <w:framePr w:w="5098" w:x="391" w:y="10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企业重组费用，如安置职工的支出、整合费用等</w:t>
      </w:r>
    </w:p>
    <w:p>
      <w:pPr>
        <w:framePr w:w="5098" w:x="391" w:y="1087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交易价格显失公允的交易产生的超过公允价值部分的</w:t>
      </w:r>
    </w:p>
    <w:p>
      <w:pPr>
        <w:framePr w:w="5098" w:x="391" w:y="1087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损益</w:t>
      </w:r>
    </w:p>
    <w:p>
      <w:pPr>
        <w:framePr w:w="5098" w:x="391" w:y="117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同一控制下企业合并产生的子公司期初至合并日的当</w:t>
      </w:r>
    </w:p>
    <w:p>
      <w:pPr>
        <w:framePr w:w="5098" w:x="391" w:y="117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期净损益</w:t>
      </w:r>
    </w:p>
    <w:p>
      <w:pPr>
        <w:framePr w:w="4675" w:x="391" w:y="122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与公司正常经营业务无关的或有事项产生的损益</w:t>
      </w:r>
    </w:p>
    <w:p>
      <w:pPr>
        <w:framePr w:w="6976" w:x="391" w:y="12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除同公司正常经营业务相关的有效套期保值业务外，持</w:t>
      </w:r>
      <w:r>
        <w:rPr>
          <w:rFonts w:eastAsiaTheme="minorEastAsia" w:hAnsiTheme="minorHAnsi" w:cstheme="minorBidi"/>
          <w:color w:val="000000"/>
          <w:spacing w:val="27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10,670,529.23</w:t>
      </w:r>
    </w:p>
    <w:p>
      <w:pPr>
        <w:framePr w:w="6976" w:x="391" w:y="1255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有交易性金融资产、衍生金融资产、交易性金融负债、</w:t>
      </w:r>
    </w:p>
    <w:p>
      <w:pPr>
        <w:framePr w:w="6976" w:x="391" w:y="1255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衍生金融负债产生的公允价值变动损益，以及处置交易</w:t>
      </w:r>
    </w:p>
    <w:p>
      <w:pPr>
        <w:framePr w:w="6976" w:x="391" w:y="1255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性金融资产、衍生金融资产、交易性金融负债、衍生金</w:t>
      </w:r>
    </w:p>
    <w:p>
      <w:pPr>
        <w:framePr w:w="6976" w:x="391" w:y="1255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融负债和其他债权投资取得的投资收益</w:t>
      </w:r>
    </w:p>
    <w:p>
      <w:pPr>
        <w:framePr w:w="1718" w:x="8346" w:y="12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-18,589,388.63</w:t>
      </w:r>
    </w:p>
    <w:p>
      <w:pPr>
        <w:framePr w:w="5309" w:x="391" w:y="1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单独进行减值测试的应收款项、合同资产减值准备转回</w:t>
      </w:r>
    </w:p>
    <w:p>
      <w:pPr>
        <w:framePr w:w="5309" w:x="391" w:y="1392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对外委托贷款取得的损益</w:t>
      </w:r>
    </w:p>
    <w:p>
      <w:pPr>
        <w:framePr w:w="1296" w:x="6073" w:y="139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457,635.48</w:t>
      </w:r>
    </w:p>
    <w:p>
      <w:pPr>
        <w:framePr w:w="5098" w:x="391" w:y="144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采用公允价值模式进行后续计量的投资性房地产公允</w:t>
      </w:r>
    </w:p>
    <w:p>
      <w:pPr>
        <w:framePr w:w="5098" w:x="391" w:y="1448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价值变动产生的损益</w:t>
      </w:r>
    </w:p>
    <w:p>
      <w:pPr>
        <w:framePr w:w="5309" w:x="391" w:y="15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根据税收、会计等法律、法规的要求对当期损益进行一</w:t>
      </w:r>
    </w:p>
    <w:p>
      <w:pPr>
        <w:framePr w:w="756" w:x="5435"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3" type="#_x0000_t75" style="width:445.6pt;height:2.7pt;margin-top:53.5pt;margin-left:61.4pt;mso-position-horizontal-relative:page;mso-position-vertical-relative:page;position:absolute;z-index:-251316224">
            <v:imagedata r:id="rId21" o:title=""/>
          </v:shape>
        </w:pict>
      </w:r>
      <w:r>
        <w:rPr>
          <w:noProof/>
        </w:rPr>
        <w:pict>
          <v:shape id="_x0000_s1044" type="#_x0000_t75" style="width:519.9pt;height:100.3pt;margin-top:100.35pt;margin-left:27.2pt;mso-position-horizontal-relative:page;mso-position-vertical-relative:page;position:absolute;z-index:-251451392">
            <v:imagedata r:id="rId22" o:title=""/>
          </v:shape>
        </w:pict>
      </w:r>
      <w:r>
        <w:rPr>
          <w:noProof/>
        </w:rPr>
        <w:pict>
          <v:shape id="_x0000_s1045" type="#_x0000_t75" style="width:569.6pt;height:461.4pt;margin-top:304.35pt;margin-left:12.9pt;mso-position-horizontal-relative:page;mso-position-vertical-relative:page;position:absolute;z-index:-251652096">
            <v:imagedata r:id="rId23" o:title=""/>
          </v:shape>
        </w:pict>
      </w:r>
    </w:p>
    <w:p>
      <w:pPr>
        <w:spacing w:line="0" w:lineRule="atLeast"/>
        <w:rPr>
          <w:rFonts w:ascii="Arial" w:eastAsiaTheme="minorEastAsia" w:hAnsiTheme="minorHAnsi" w:cstheme="minorBidi"/>
          <w:color w:val="FF0000"/>
          <w:sz w:val="2"/>
          <w:szCs w:val="22"/>
          <w:lang w:val="en-US" w:eastAsia="en-US" w:bidi="ar-SA"/>
        </w:rPr>
      </w:pPr>
      <w:bookmarkStart w:id="7" w:name="br1_6"/>
      <w:bookmarkEnd w:id="7"/>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4042" w:x="391" w:y="1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次性调整对当期损益的影响</w:t>
      </w:r>
    </w:p>
    <w:p>
      <w:pPr>
        <w:framePr w:w="4042" w:x="391" w:y="14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受托经营取得的托管费收入</w:t>
      </w:r>
    </w:p>
    <w:p>
      <w:pPr>
        <w:framePr w:w="4042" w:x="391" w:y="146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除上述各项之外的其他营业外收入和支出</w:t>
      </w:r>
    </w:p>
    <w:p>
      <w:pPr>
        <w:framePr w:w="4042" w:x="391" w:y="14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其他符合非经常性损益定义的损益项目</w:t>
      </w:r>
    </w:p>
    <w:p>
      <w:pPr>
        <w:framePr w:w="4042" w:x="391" w:y="14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少数股东权益影响额</w:t>
      </w:r>
    </w:p>
    <w:p>
      <w:pPr>
        <w:framePr w:w="1718" w:x="5653" w:y="20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-13,603,025.43</w:t>
      </w:r>
    </w:p>
    <w:p>
      <w:pPr>
        <w:framePr w:w="1613" w:x="8452" w:y="20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-2,812,920.60</w:t>
      </w:r>
    </w:p>
    <w:p>
      <w:pPr>
        <w:framePr w:w="1613" w:x="8452" w:y="2025"/>
        <w:widowControl w:val="0"/>
        <w:autoSpaceDE w:val="0"/>
        <w:autoSpaceDN w:val="0"/>
        <w:spacing w:before="7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6,626.26</w:t>
      </w:r>
    </w:p>
    <w:p>
      <w:pPr>
        <w:framePr w:w="1296" w:x="10466" w:y="20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-21,670.31</w:t>
      </w:r>
    </w:p>
    <w:p>
      <w:pPr>
        <w:framePr w:w="1507" w:x="391" w:y="2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所得税影响额</w:t>
      </w:r>
    </w:p>
    <w:p>
      <w:pPr>
        <w:framePr w:w="1613" w:x="5759" w:y="28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-1,105,845.96</w:t>
      </w:r>
    </w:p>
    <w:p>
      <w:pPr>
        <w:framePr w:w="1613" w:x="5759" w:y="287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11,094,133.60</w:t>
      </w:r>
    </w:p>
    <w:p>
      <w:pPr>
        <w:framePr w:w="3308" w:x="8452" w:y="287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1,177,630.47</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-2,922,337.23</w:t>
      </w:r>
    </w:p>
    <w:p>
      <w:pPr>
        <w:framePr w:w="3308" w:x="8452" w:y="287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-7,975,484.34</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11,840,451.67</w:t>
      </w:r>
    </w:p>
    <w:p>
      <w:pPr>
        <w:framePr w:w="662" w:x="2698" w:y="31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401" w:x="1277" w:y="38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十一、</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采用公允价值计量的项目</w:t>
      </w:r>
    </w:p>
    <w:p>
      <w:pPr>
        <w:framePr w:w="3401" w:x="1277" w:y="383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2" w:x="1277" w:y="48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十二、</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277" w:y="54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87" w:x="4220" w:y="5952"/>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第三节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1"/>
          <w:sz w:val="28"/>
          <w:szCs w:val="22"/>
          <w:lang w:val="en-US" w:eastAsia="en-US" w:bidi="ar-SA"/>
        </w:rPr>
        <w:t>公司业务概要</w:t>
      </w:r>
    </w:p>
    <w:p>
      <w:pPr>
        <w:framePr w:w="6154" w:x="1277" w:y="65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一、报告期内公司所从事的主要业务、经营模式及行业情况说明</w:t>
      </w:r>
    </w:p>
    <w:p>
      <w:pPr>
        <w:framePr w:w="6154" w:x="1277" w:y="6550"/>
        <w:widowControl w:val="0"/>
        <w:autoSpaceDE w:val="0"/>
        <w:autoSpaceDN w:val="0"/>
        <w:spacing w:before="12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（一）主要业务</w:t>
      </w:r>
    </w:p>
    <w:p>
      <w:pPr>
        <w:framePr w:w="9110" w:x="1277" w:y="729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公司主要从事安全、高效、低毒、环境友好型农药原药及制剂、中间体的研发、生产和销售。</w:t>
      </w:r>
    </w:p>
    <w:p>
      <w:pPr>
        <w:framePr w:w="9110" w:x="1277" w:y="72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公司主要产品除草剂、杀菌剂、中间体，除草剂主要有环己烯酮类、咪唑啉酮类、异噁草松类产</w:t>
      </w:r>
    </w:p>
    <w:p>
      <w:pPr>
        <w:framePr w:w="9110" w:x="1277" w:y="72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品等，杀菌剂为烯酰吗啉类。本公司秉承“专业化、精细化”的经营理念，一直深耕主业，自公</w:t>
      </w:r>
    </w:p>
    <w:p>
      <w:pPr>
        <w:framePr w:w="9110" w:x="1277" w:y="72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司成立以来，主营业务未发生变化。</w:t>
      </w:r>
    </w:p>
    <w:p>
      <w:pPr>
        <w:framePr w:w="1718" w:x="1697" w:y="89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（二）经营模式</w:t>
      </w:r>
    </w:p>
    <w:p>
      <w:pPr>
        <w:framePr w:w="9069" w:x="1277" w:y="933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公司经过多年的经营发展，现已建立完整的研发、采购、生产、质量检测、市场推广和销售</w:t>
      </w:r>
    </w:p>
    <w:p>
      <w:pPr>
        <w:framePr w:w="9069" w:x="1277" w:y="933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体系，各中心相互协作，为公司稳定、持续、健康发展提供有力保障。</w:t>
      </w:r>
    </w:p>
    <w:p>
      <w:pPr>
        <w:framePr w:w="9069" w:x="1277" w:y="933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、研发模式</w:t>
      </w:r>
    </w:p>
    <w:p>
      <w:pPr>
        <w:framePr w:w="9110" w:x="1277" w:y="1055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公司设有研究院，并建立一套完整的项目管理激励体系，为公司新产品的研发和现有产品的</w:t>
      </w:r>
    </w:p>
    <w:p>
      <w:pPr>
        <w:framePr w:w="9110" w:x="1277" w:y="1055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优化升级提供激励保障。</w:t>
      </w:r>
      <w:r>
        <w:rPr>
          <w:rFonts w:ascii="SimSun" w:eastAsiaTheme="minorEastAsia" w:hAnsiTheme="minorHAnsi" w:cstheme="minorBidi"/>
          <w:color w:val="000000"/>
          <w:sz w:val="21"/>
          <w:szCs w:val="22"/>
          <w:lang w:val="en-US" w:eastAsia="en-US" w:bidi="ar-SA"/>
        </w:rPr>
        <w:t>2015</w:t>
      </w:r>
      <w:r>
        <w:rPr>
          <w:rFonts w:ascii="SimSun" w:hAnsi="SimSun" w:eastAsiaTheme="minorEastAsia" w:cs="SimSun"/>
          <w:color w:val="000000"/>
          <w:spacing w:val="-1"/>
          <w:sz w:val="21"/>
          <w:szCs w:val="22"/>
          <w:lang w:val="en-US" w:eastAsia="en-US" w:bidi="ar-SA"/>
        </w:rPr>
        <w:t>年与南开大学农药国家工程研究中心、华中师范大学联合组建先达</w:t>
      </w:r>
    </w:p>
    <w:p>
      <w:pPr>
        <w:framePr w:w="9110" w:x="1277" w:y="1055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农化产业创新研究院，进行创制化合物的合作研究；</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年公司与贵州大学签署了新化合物创制</w:t>
      </w:r>
    </w:p>
    <w:p>
      <w:pPr>
        <w:framePr w:w="9110" w:x="1277" w:y="1055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研究开发协议，通过自主研发和院校合作加快提升公司技术创新能力。</w:t>
      </w:r>
    </w:p>
    <w:p>
      <w:pPr>
        <w:framePr w:w="9110" w:x="1277" w:y="1055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、采购模式</w:t>
      </w:r>
    </w:p>
    <w:p>
      <w:pPr>
        <w:framePr w:w="9533" w:x="1277" w:y="1260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本公司原辅材料采购主要由采购管理中心负责，按照审批后的《物资采购计划单》实施采购，</w:t>
      </w:r>
    </w:p>
    <w:p>
      <w:pPr>
        <w:framePr w:w="9533" w:x="1277" w:y="1260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所有采购的原料须经品质保障部检验合格后办理入库，公司仓库班负责原材料的出入库手续。</w:t>
      </w:r>
    </w:p>
    <w:p>
      <w:pPr>
        <w:framePr w:w="9533" w:x="1277" w:y="12601"/>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为保证采购原材料质量和价格，采购部门制定了严格的供应商考察标准和审核流程，公司根</w:t>
      </w:r>
    </w:p>
    <w:p>
      <w:pPr>
        <w:framePr w:w="9533" w:x="1277" w:y="1260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据供应商的资质条件、供货能力、产品质量等情况，将符合条件的供应商纳入《合格供应商名录》。</w:t>
      </w:r>
    </w:p>
    <w:p>
      <w:pPr>
        <w:framePr w:w="9533" w:x="1277" w:y="1260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对于选择范围广、用量较大的基础原材料，采购部门会用招标或询价比价方式确定最终的供应商。</w:t>
      </w:r>
    </w:p>
    <w:p>
      <w:pPr>
        <w:framePr w:w="756" w:x="5435"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6" type="#_x0000_t75" style="width:445.6pt;height:2.7pt;margin-top:53.5pt;margin-left:61.4pt;mso-position-horizontal-relative:page;mso-position-vertical-relative:page;position:absolute;z-index:-251450368">
            <v:imagedata r:id="rId24" o:title=""/>
          </v:shape>
        </w:pict>
      </w:r>
      <w:r>
        <w:rPr>
          <w:noProof/>
        </w:rPr>
        <w:pict>
          <v:shape id="_x0000_s1047" type="#_x0000_t75" style="width:569.6pt;height:101.4pt;margin-top:70.1pt;margin-left:12.9pt;mso-position-horizontal-relative:page;mso-position-vertical-relative:page;position:absolute;z-index:-251651072">
            <v:imagedata r:id="rId25" o:title=""/>
          </v:shape>
        </w:pict>
      </w:r>
    </w:p>
    <w:p>
      <w:pPr>
        <w:spacing w:line="0" w:lineRule="atLeast"/>
        <w:rPr>
          <w:rFonts w:ascii="Arial" w:eastAsiaTheme="minorEastAsia" w:hAnsiTheme="minorHAnsi" w:cstheme="minorBidi"/>
          <w:color w:val="FF0000"/>
          <w:sz w:val="2"/>
          <w:szCs w:val="22"/>
          <w:lang w:val="en-US" w:eastAsia="en-US" w:bidi="ar-SA"/>
        </w:rPr>
      </w:pPr>
      <w:bookmarkStart w:id="8" w:name="br1_7"/>
      <w:bookmarkEnd w:id="8"/>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688" w:x="1697" w:y="14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对于重要原材料，为降低采购成本，公司会根据生产季节性和以往原材料价格进行适时调整</w:t>
      </w:r>
    </w:p>
    <w:p>
      <w:pPr>
        <w:framePr w:w="9322" w:x="1277" w:y="18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采购计划，进行合理储备，确保稳定供应。对于通用性强的原辅材料根据生产计划制定采购计划，</w:t>
      </w:r>
    </w:p>
    <w:p>
      <w:pPr>
        <w:framePr w:w="1296" w:x="1277" w:y="22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实施采购。</w:t>
      </w:r>
    </w:p>
    <w:p>
      <w:pPr>
        <w:framePr w:w="1402" w:x="1697" w:y="26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、生产模式</w:t>
      </w:r>
    </w:p>
    <w:p>
      <w:pPr>
        <w:framePr w:w="9322" w:x="1277" w:y="308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本公司生产由制造中心统一负责组织实施，制造中心分管各个生产基地。由于农药施用的季</w:t>
      </w:r>
    </w:p>
    <w:p>
      <w:pPr>
        <w:framePr w:w="9322" w:x="1277" w:y="30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节性较强，国内外市场均有其特定的销售淡旺季。原药生产模式根据公司下达的年度生产经营计</w:t>
      </w:r>
    </w:p>
    <w:p>
      <w:pPr>
        <w:framePr w:w="9322" w:x="1277" w:y="30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划进行生产，各生产基地生产管理中心根据经营计划组织生产，成品入库储存以备销售旺季所用。</w:t>
      </w:r>
    </w:p>
    <w:p>
      <w:pPr>
        <w:framePr w:w="9322" w:x="1277" w:y="308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制剂生产模式根据销售部门下达的订单进行生产，生产系统结合库存实际情况，决定实际生产的</w:t>
      </w:r>
    </w:p>
    <w:p>
      <w:pPr>
        <w:framePr w:w="9322" w:x="1277" w:y="30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1402" w:x="1697" w:y="51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、销售模式</w:t>
      </w:r>
    </w:p>
    <w:p>
      <w:pPr>
        <w:framePr w:w="2035" w:x="1697" w:y="55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）国内销售模式</w:t>
      </w:r>
    </w:p>
    <w:p>
      <w:pPr>
        <w:framePr w:w="4675" w:x="1697" w:y="59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公司将产品直接销售给国内农化企业和经销商。</w:t>
      </w:r>
    </w:p>
    <w:p>
      <w:pPr>
        <w:framePr w:w="2035" w:x="1697" w:y="63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）国外销售模式</w:t>
      </w:r>
    </w:p>
    <w:p>
      <w:pPr>
        <w:framePr w:w="9069" w:x="1277" w:y="676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公司国外销售模式分为自营出口和间接出口两种模式，自营出口是直接将产品销售给境外客</w:t>
      </w:r>
    </w:p>
    <w:p>
      <w:pPr>
        <w:framePr w:w="9069" w:x="1277" w:y="67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户；间接出口是公司现将产品销售给国内农药贸易商，再由贸易商将产品出口至境外。</w:t>
      </w:r>
    </w:p>
    <w:p>
      <w:pPr>
        <w:framePr w:w="9069" w:x="1277" w:y="676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（三）行业情况</w:t>
      </w:r>
    </w:p>
    <w:p>
      <w:pPr>
        <w:framePr w:w="7632" w:x="1697" w:y="7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本公司所属行业为化学原料及化学制品制造业，细分行业为化学农药制造行业。</w:t>
      </w:r>
    </w:p>
    <w:p>
      <w:pPr>
        <w:framePr w:w="9110" w:x="1277" w:y="85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pacing w:val="-10"/>
          <w:sz w:val="21"/>
          <w:szCs w:val="22"/>
          <w:lang w:val="en-US" w:eastAsia="en-US" w:bidi="ar-SA"/>
        </w:rPr>
        <w:t>年的中央一号文件提出的目标任务中指出：“</w:t>
      </w: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pacing w:val="-6"/>
          <w:sz w:val="21"/>
          <w:szCs w:val="22"/>
          <w:lang w:val="en-US" w:eastAsia="en-US" w:bidi="ar-SA"/>
        </w:rPr>
        <w:t>年，农业供给侧机构性改革深入推进，</w:t>
      </w:r>
    </w:p>
    <w:p>
      <w:pPr>
        <w:framePr w:w="9110" w:x="1277" w:y="85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粮食播种面积保持稳定、产量达到</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w:t>
      </w:r>
      <w:r>
        <w:rPr>
          <w:rFonts w:ascii="SimSun" w:hAnsi="SimSun" w:eastAsiaTheme="minorEastAsia" w:cs="SimSun"/>
          <w:color w:val="000000"/>
          <w:sz w:val="21"/>
          <w:szCs w:val="22"/>
          <w:lang w:val="en-US" w:eastAsia="en-US" w:bidi="ar-SA"/>
        </w:rPr>
        <w:t>万亿斤以上。”想要农产品质量和食品安全进一步提高，</w:t>
      </w:r>
    </w:p>
    <w:p>
      <w:pPr>
        <w:framePr w:w="9110" w:x="1277" w:y="85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农药是农业生产中必不可少的生产资料，有病虫害的“克星”和庄稼的保护神之称。保持粮食播</w:t>
      </w:r>
    </w:p>
    <w:p>
      <w:pPr>
        <w:framePr w:w="9110" w:x="1277" w:y="85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种面积和产量的稳定为农药行业与市场稳定发展夯实了根基。</w:t>
      </w:r>
    </w:p>
    <w:p>
      <w:pPr>
        <w:framePr w:w="9110" w:x="1277" w:y="1027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按照《</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年农药管理工作要点》，农药产业在顶层设计上要求企业必须在生产环节严格准</w:t>
      </w:r>
    </w:p>
    <w:p>
      <w:pPr>
        <w:framePr w:w="9110" w:x="1277" w:y="102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入条件，优化生产布局，控制新增企业数量，督促相关农药企业按照规定进入化工园区或工业园</w:t>
      </w:r>
    </w:p>
    <w:p>
      <w:pPr>
        <w:framePr w:w="9110" w:x="1277" w:y="102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区，鼓励发展高效低毒绿色农药，淘汰高污染、高耗能的落后产能，引导农药产业高质量发展，</w:t>
      </w:r>
    </w:p>
    <w:p>
      <w:pPr>
        <w:framePr w:w="9110" w:x="1277" w:y="102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鼓励企业兼并重组，退出一批竞争力弱的小企业。</w:t>
      </w:r>
    </w:p>
    <w:p>
      <w:pPr>
        <w:framePr w:w="9110" w:x="1277" w:y="1202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伴随国家“供给侧改革”政策引导、新《农药管理条例》实施、行业竞争加剧以及资源、环</w:t>
      </w:r>
    </w:p>
    <w:p>
      <w:pPr>
        <w:framePr w:w="9110" w:x="1277" w:y="1202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境约束机制强化等多因素叠加影响，我国农药行业将继续向集约化、规模化方向发展，产品结构</w:t>
      </w:r>
    </w:p>
    <w:p>
      <w:pPr>
        <w:framePr w:w="9110" w:x="1277" w:y="120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将不断优化。未来我国农化行业整合速度加快，农药行业分工和协作将更加合理，一批具有核心</w:t>
      </w:r>
    </w:p>
    <w:p>
      <w:pPr>
        <w:framePr w:w="9110" w:x="1277" w:y="120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竞争力的企业将成为我国农药行业的主导力量，有效提升我国农药企业在全球市场中的竞争力。</w:t>
      </w:r>
    </w:p>
    <w:p>
      <w:pPr>
        <w:framePr w:w="9110" w:x="1277" w:y="1378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随着我国农药行业集中度的提升，农药企业研发投入将进一步提高，自主创新体系将逐步完</w:t>
      </w:r>
    </w:p>
    <w:p>
      <w:pPr>
        <w:framePr w:w="9110" w:x="1277" w:y="1378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善，使我国农药行业向新药创制和生产中高端产品方向转移，切实增加农药产品的科技含量和产</w:t>
      </w:r>
    </w:p>
    <w:p>
      <w:pPr>
        <w:framePr w:w="9110" w:x="1277" w:y="1378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品附加值，驱动我国农药行业技术进步，提升行业竞争力。</w:t>
      </w:r>
    </w:p>
    <w:p>
      <w:pPr>
        <w:framePr w:w="756" w:x="5435"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8" type="#_x0000_t75" style="width:445.6pt;height:2.7pt;margin-top:53.5pt;margin-left:61.4pt;mso-position-horizontal-relative:page;mso-position-vertical-relative:page;position:absolute;z-index:-25165004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 w:name="br1_8"/>
      <w:bookmarkEnd w:id="9"/>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5098" w:x="1277" w:y="14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二、报告期内公司主要资产发生重大变化情况的说明</w:t>
      </w:r>
    </w:p>
    <w:p>
      <w:pPr>
        <w:framePr w:w="5098" w:x="1277" w:y="14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8" w:x="1277" w:y="25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三、报告期内核心竞争力分析</w:t>
      </w:r>
    </w:p>
    <w:p>
      <w:pPr>
        <w:framePr w:w="2988" w:x="1277" w:y="250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9" w:x="1277" w:y="35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公司作为选择性除草剂细分行业龙头，主要优势表现在技术研发、质量、规模、品牌、技术</w:t>
      </w:r>
    </w:p>
    <w:p>
      <w:pPr>
        <w:framePr w:w="9069" w:x="1277" w:y="35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营销等方面。</w:t>
      </w:r>
    </w:p>
    <w:p>
      <w:pPr>
        <w:framePr w:w="2035" w:x="1697" w:y="43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、技术和创新优势</w:t>
      </w:r>
    </w:p>
    <w:p>
      <w:pPr>
        <w:framePr w:w="9110" w:x="1277" w:y="479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公司是国家级高新技术企业，同时拥有以博士、硕士为主力军的研发队伍，辅以良好的技术</w:t>
      </w:r>
    </w:p>
    <w:p>
      <w:pPr>
        <w:framePr w:w="9110" w:x="1277" w:y="47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创新和研发机制。公司根据市场需求对除草剂、杀菌剂新品种进行挑选。经过二十多年来的技术</w:t>
      </w:r>
    </w:p>
    <w:p>
      <w:pPr>
        <w:framePr w:w="9110" w:x="1277" w:y="47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研发，公司已储备了大量新产品的生产工艺技术，并通过对现有产品工艺不断进行优化升级，不</w:t>
      </w:r>
    </w:p>
    <w:p>
      <w:pPr>
        <w:framePr w:w="9110" w:x="1277" w:y="47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断降低产品成本，提高产品市场竞争力。</w:t>
      </w:r>
    </w:p>
    <w:p>
      <w:pPr>
        <w:framePr w:w="9110" w:x="1277" w:y="642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公司积极与高等院校、科研院所建立多种形式的合作协同关系，有效地组织和运用社会资源</w:t>
      </w:r>
    </w:p>
    <w:p>
      <w:pPr>
        <w:framePr w:w="9110" w:x="1277" w:y="642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为公司技术研发服务。</w:t>
      </w:r>
      <w:r>
        <w:rPr>
          <w:rFonts w:ascii="SimSun" w:eastAsiaTheme="minorEastAsia" w:hAnsiTheme="minorHAnsi" w:cstheme="minorBidi"/>
          <w:color w:val="000000"/>
          <w:spacing w:val="-1"/>
          <w:sz w:val="21"/>
          <w:szCs w:val="22"/>
          <w:lang w:val="en-US" w:eastAsia="en-US" w:bidi="ar-SA"/>
        </w:rPr>
        <w:t>2015</w:t>
      </w:r>
      <w:r>
        <w:rPr>
          <w:rFonts w:ascii="SimSun" w:hAnsi="SimSun" w:eastAsiaTheme="minorEastAsia" w:cs="SimSun"/>
          <w:color w:val="000000"/>
          <w:spacing w:val="-1"/>
          <w:sz w:val="21"/>
          <w:szCs w:val="22"/>
          <w:lang w:val="en-US" w:eastAsia="en-US" w:bidi="ar-SA"/>
        </w:rPr>
        <w:t>年公司与南开大学农药国家工程研究中心、华中师范大学共同联合组</w:t>
      </w:r>
    </w:p>
    <w:p>
      <w:pPr>
        <w:framePr w:w="9110" w:x="1277" w:y="64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建了“先达农化产业技术创新研究院”。</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年公司与贵州大学签署了新化合物创制研究开发</w:t>
      </w:r>
    </w:p>
    <w:p>
      <w:pPr>
        <w:framePr w:w="9110" w:x="1277" w:y="64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协议，通过与院校开展产学研合作，旨在提升公司的研发创新能力。</w:t>
      </w:r>
    </w:p>
    <w:p>
      <w:pPr>
        <w:framePr w:w="9110" w:x="1277" w:y="642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、产品质量优势</w:t>
      </w:r>
    </w:p>
    <w:p>
      <w:pPr>
        <w:framePr w:w="9110" w:x="1277" w:y="84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公司高度重视产品质量，对产品精益求精。为了保障产品质量，公司在产品企业标准的制定、</w:t>
      </w:r>
    </w:p>
    <w:p>
      <w:pPr>
        <w:framePr w:w="9110" w:x="1277" w:y="8468"/>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合格供应方评价、原材料采购和入厂检验、生产过程控制、产品交叉污染控制、出厂产品检验、</w:t>
      </w:r>
    </w:p>
    <w:p>
      <w:pPr>
        <w:framePr w:w="9110" w:x="1277" w:y="84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运输质量控制、技术服务与支持等方面制定了严格的质量控制标准和流程。同时，公司在生产实</w:t>
      </w:r>
    </w:p>
    <w:p>
      <w:pPr>
        <w:framePr w:w="9110" w:x="1277" w:y="84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践中坚持自主创新，通过合理利用自动化设备，生产工艺不断得到优化，使产品质量和稳定性达</w:t>
      </w:r>
    </w:p>
    <w:p>
      <w:pPr>
        <w:framePr w:w="9110" w:x="1277" w:y="84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到了行业先进水平，同时也为公司在国内外市场树立了良好的品牌。</w:t>
      </w:r>
    </w:p>
    <w:p>
      <w:pPr>
        <w:framePr w:w="9110" w:x="1277" w:y="8468"/>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、规模及原药制剂一体化生产优势</w:t>
      </w:r>
    </w:p>
    <w:p>
      <w:pPr>
        <w:framePr w:w="9110" w:x="1277" w:y="1092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本公司主要产品烯草酮原药、异噁草松原药、咪草烟原药、灭草烟原药、烯酰吗啉原药产量</w:t>
      </w:r>
    </w:p>
    <w:p>
      <w:pPr>
        <w:framePr w:w="9110" w:x="1277" w:y="1092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均位居国内前列。同时，公司不断加强下游制剂系列产品的研发与生产，所生产原药均配套制剂</w:t>
      </w:r>
    </w:p>
    <w:p>
      <w:pPr>
        <w:framePr w:w="9110" w:x="1277" w:y="1092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产品。制剂产品结构合理，实现了原药业务与制剂业务互相补充，提高了公司整体的抗风险能力</w:t>
      </w:r>
    </w:p>
    <w:p>
      <w:pPr>
        <w:framePr w:w="9110" w:x="1277" w:y="1092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和盈利能力。</w:t>
      </w:r>
    </w:p>
    <w:p>
      <w:pPr>
        <w:framePr w:w="1402" w:x="1697" w:y="12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、品牌优势</w:t>
      </w:r>
    </w:p>
    <w:p>
      <w:pPr>
        <w:framePr w:w="9076" w:x="1277" w:y="1296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公司以优质产品为依托，经过二十多年的发展，于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2017</w:t>
      </w:r>
      <w:r>
        <w:rPr>
          <w:rFonts w:ascii="SimSun" w:hAnsi="SimSun" w:eastAsiaTheme="minorEastAsia" w:cs="SimSun"/>
          <w:color w:val="000000"/>
          <w:spacing w:val="-2"/>
          <w:sz w:val="21"/>
          <w:szCs w:val="22"/>
          <w:lang w:val="en-US" w:eastAsia="en-US" w:bidi="ar-SA"/>
        </w:rPr>
        <w:t>年成功登陆资本市场，在国内外农药</w:t>
      </w:r>
    </w:p>
    <w:p>
      <w:pPr>
        <w:framePr w:w="9076" w:x="1277" w:y="129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市场形成了广泛的品牌影响力，国内外销售连年实现稳步增长。</w:t>
      </w:r>
      <w:r>
        <w:rPr>
          <w:rFonts w:ascii="SimSun" w:eastAsiaTheme="minorEastAsia" w:hAnsiTheme="minorHAnsi" w:cstheme="minorBidi"/>
          <w:color w:val="000000"/>
          <w:sz w:val="21"/>
          <w:szCs w:val="22"/>
          <w:lang w:val="en-US" w:eastAsia="en-US" w:bidi="ar-SA"/>
        </w:rPr>
        <w:t>2013</w:t>
      </w:r>
      <w:r>
        <w:rPr>
          <w:rFonts w:ascii="SimSun" w:hAnsi="SimSun" w:eastAsiaTheme="minorEastAsia" w:cs="SimSun"/>
          <w:color w:val="000000"/>
          <w:spacing w:val="1"/>
          <w:sz w:val="21"/>
          <w:szCs w:val="22"/>
          <w:lang w:val="en-US" w:eastAsia="en-US" w:bidi="ar-SA"/>
        </w:rPr>
        <w:t>年至</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z w:val="21"/>
          <w:szCs w:val="22"/>
          <w:lang w:val="en-US" w:eastAsia="en-US" w:bidi="ar-SA"/>
        </w:rPr>
        <w:t>年公司连续被中</w:t>
      </w:r>
    </w:p>
    <w:p>
      <w:pPr>
        <w:framePr w:w="9076" w:x="1277" w:y="129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国农药工业协会评为年度“中国农药行业百强”。</w:t>
      </w:r>
    </w:p>
    <w:p>
      <w:pPr>
        <w:framePr w:w="2246" w:x="1697" w:y="141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、技术服务营销优势</w:t>
      </w:r>
    </w:p>
    <w:p>
      <w:pPr>
        <w:framePr w:w="847" w:x="5389"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9" type="#_x0000_t75" style="width:445.6pt;height:2.7pt;margin-top:53.5pt;margin-left:61.4pt;mso-position-horizontal-relative:page;mso-position-vertical-relative:page;position:absolute;z-index:-25164902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 w:name="br1_9"/>
      <w:bookmarkEnd w:id="10"/>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322" w:x="1277" w:y="14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公司秉承“专业化、精细化”的经营理念，以“做精品、做基层、做服务”为指导方针，依</w:t>
      </w:r>
    </w:p>
    <w:p>
      <w:pPr>
        <w:framePr w:w="9322" w:x="1277" w:y="14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托公司强大研发创新和转化能力，不断推出具有市场差异化的产品，为客户提供植保解决方案。</w:t>
      </w:r>
    </w:p>
    <w:p>
      <w:pPr>
        <w:framePr w:w="9322" w:x="1277" w:y="14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公司设有产品与市场中心，按作物设置产品线经理，同时配备了大量的实验和技术服务推广人员。</w:t>
      </w:r>
    </w:p>
    <w:p>
      <w:pPr>
        <w:framePr w:w="9322" w:x="1277" w:y="1451"/>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由于除草剂的特殊性，新产品上市前需要进行</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w:t>
      </w:r>
      <w:r>
        <w:rPr>
          <w:rFonts w:ascii="SimSun" w:hAnsi="SimSun" w:eastAsiaTheme="minorEastAsia" w:cs="SimSun"/>
          <w:color w:val="000000"/>
          <w:sz w:val="21"/>
          <w:szCs w:val="22"/>
          <w:lang w:val="en-US" w:eastAsia="en-US" w:bidi="ar-SA"/>
        </w:rPr>
        <w:t>年的田间试验。这些田间试验全部由公司</w:t>
      </w:r>
    </w:p>
    <w:p>
      <w:pPr>
        <w:framePr w:w="9322" w:x="1277" w:y="14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产品与市场中心团队来完成，通过田间试验，获得了可靠的应用数据。新产品从上市开始，推广</w:t>
      </w:r>
    </w:p>
    <w:p>
      <w:pPr>
        <w:framePr w:w="9322" w:x="1277" w:y="14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队伍在基层农户进行技术应用指导，解决农户种植生产中存在的问题。通过技术服务营销的实施，</w:t>
      </w:r>
    </w:p>
    <w:p>
      <w:pPr>
        <w:framePr w:w="9322" w:x="1277" w:y="14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既提升了团队人员的产品应用技术水平，又提高了公司知名度、增强了农户对公司产品的认可度。</w:t>
      </w:r>
    </w:p>
    <w:p>
      <w:pPr>
        <w:framePr w:w="4029" w:x="3795" w:y="4380"/>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第四节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1"/>
          <w:sz w:val="28"/>
          <w:szCs w:val="22"/>
          <w:lang w:val="en-US" w:eastAsia="en-US" w:bidi="ar-SA"/>
        </w:rPr>
        <w:t>经营情况讨论与分析</w:t>
      </w:r>
    </w:p>
    <w:p>
      <w:pPr>
        <w:framePr w:w="2563" w:x="1277" w:y="50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一、经营情况讨论与分析</w:t>
      </w:r>
    </w:p>
    <w:p>
      <w:pPr>
        <w:framePr w:w="9110" w:x="1277" w:y="55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年作为“十三五”的收官之年，面对新冠疫情对物流、市场带来的多重影响，以及出现</w:t>
      </w:r>
    </w:p>
    <w:p>
      <w:pPr>
        <w:framePr w:w="9110" w:x="1277" w:y="55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辽宁生产基地意外火灾爆炸事故这一不利局面下，在公司董事会的领导下，公司管理层及全体员</w:t>
      </w:r>
    </w:p>
    <w:p>
      <w:pPr>
        <w:framePr w:w="9110" w:x="1277" w:y="55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工齐心协力，攻坚克难，有序组织进行生产经营活动，积极应对不利因素，实现了公司业务总量</w:t>
      </w:r>
    </w:p>
    <w:p>
      <w:pPr>
        <w:framePr w:w="9110" w:x="1277" w:y="55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迈上新台阶，为公司发展奠定了坚实的基础，实现了公司主业的持续健康发展。</w:t>
      </w:r>
    </w:p>
    <w:p>
      <w:pPr>
        <w:framePr w:w="9216" w:x="1277" w:y="732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报告期内，公司实现营业收入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189,559.57</w:t>
      </w:r>
      <w:r>
        <w:rPr>
          <w:rFonts w:ascii="SimSun" w:hAnsi="SimSun" w:eastAsiaTheme="minorEastAsia" w:cs="SimSun"/>
          <w:color w:val="000000"/>
          <w:sz w:val="21"/>
          <w:szCs w:val="22"/>
          <w:lang w:val="en-US" w:eastAsia="en-US" w:bidi="ar-SA"/>
        </w:rPr>
        <w:t>万元，较去年同期增长</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20.39%</w:t>
      </w:r>
      <w:r>
        <w:rPr>
          <w:rFonts w:ascii="SimSun" w:hAnsi="SimSun" w:eastAsiaTheme="minorEastAsia" w:cs="SimSun"/>
          <w:color w:val="000000"/>
          <w:sz w:val="21"/>
          <w:szCs w:val="22"/>
          <w:lang w:val="en-US" w:eastAsia="en-US" w:bidi="ar-SA"/>
        </w:rPr>
        <w:t>；实现营业利润</w:t>
      </w:r>
    </w:p>
    <w:p>
      <w:pPr>
        <w:framePr w:w="9216" w:x="1277" w:y="73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22,825.44</w:t>
      </w:r>
      <w:r>
        <w:rPr>
          <w:rFonts w:ascii="SimSun" w:hAnsi="SimSun" w:eastAsiaTheme="minorEastAsia" w:cs="SimSun"/>
          <w:color w:val="000000"/>
          <w:spacing w:val="-11"/>
          <w:sz w:val="21"/>
          <w:szCs w:val="22"/>
          <w:lang w:val="en-US" w:eastAsia="en-US" w:bidi="ar-SA"/>
        </w:rPr>
        <w:t>万元，较去年同期下降</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5.66%</w:t>
      </w:r>
      <w:r>
        <w:rPr>
          <w:rFonts w:ascii="SimSun" w:hAnsi="SimSun" w:eastAsiaTheme="minorEastAsia" w:cs="SimSun"/>
          <w:color w:val="000000"/>
          <w:spacing w:val="-15"/>
          <w:sz w:val="21"/>
          <w:szCs w:val="22"/>
          <w:lang w:val="en-US" w:eastAsia="en-US" w:bidi="ar-SA"/>
        </w:rPr>
        <w:t>；实现利润总额</w:t>
      </w:r>
      <w:r>
        <w:rPr>
          <w:rFonts w:eastAsiaTheme="minorEastAsia" w:hAnsiTheme="minorHAnsi" w:cstheme="minorBidi"/>
          <w:color w:val="000000"/>
          <w:spacing w:val="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21,465.14</w:t>
      </w:r>
      <w:r>
        <w:rPr>
          <w:rFonts w:ascii="SimSun" w:hAnsi="SimSun" w:eastAsiaTheme="minorEastAsia" w:cs="SimSun"/>
          <w:color w:val="000000"/>
          <w:spacing w:val="-10"/>
          <w:sz w:val="21"/>
          <w:szCs w:val="22"/>
          <w:lang w:val="en-US" w:eastAsia="en-US" w:bidi="ar-SA"/>
        </w:rPr>
        <w:t>万元，较去年同期下降</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10.24%</w:t>
      </w:r>
      <w:r>
        <w:rPr>
          <w:rFonts w:ascii="SimSun" w:hAnsi="SimSun" w:eastAsiaTheme="minorEastAsia" w:cs="SimSun"/>
          <w:color w:val="000000"/>
          <w:sz w:val="21"/>
          <w:szCs w:val="22"/>
          <w:lang w:val="en-US" w:eastAsia="en-US" w:bidi="ar-SA"/>
        </w:rPr>
        <w:t>；</w:t>
      </w:r>
    </w:p>
    <w:p>
      <w:pPr>
        <w:framePr w:w="9216" w:x="1277" w:y="73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实现归属于上市公司股东的净利润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17,603.43</w:t>
      </w:r>
      <w:r>
        <w:rPr>
          <w:rFonts w:ascii="SimSun" w:hAnsi="SimSun" w:eastAsiaTheme="minorEastAsia" w:cs="SimSun"/>
          <w:color w:val="000000"/>
          <w:spacing w:val="-2"/>
          <w:sz w:val="21"/>
          <w:szCs w:val="22"/>
          <w:lang w:val="en-US" w:eastAsia="en-US" w:bidi="ar-SA"/>
        </w:rPr>
        <w:t>万元，较去年同期下降</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13.97%</w:t>
      </w:r>
      <w:r>
        <w:rPr>
          <w:rFonts w:ascii="SimSun" w:hAnsi="SimSun" w:eastAsiaTheme="minorEastAsia" w:cs="SimSun"/>
          <w:color w:val="000000"/>
          <w:spacing w:val="-2"/>
          <w:sz w:val="21"/>
          <w:szCs w:val="22"/>
          <w:lang w:val="en-US" w:eastAsia="en-US" w:bidi="ar-SA"/>
        </w:rPr>
        <w:t>。净利润下降主要原</w:t>
      </w:r>
    </w:p>
    <w:p>
      <w:pPr>
        <w:framePr w:w="9216" w:x="1277" w:y="73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因为主要产品之一烯草酮系列产品销售价格较去年同期大幅下降；②全资子公司辽宁先达因爆炸</w:t>
      </w:r>
    </w:p>
    <w:p>
      <w:pPr>
        <w:framePr w:w="9216" w:x="1277" w:y="73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事故造成的财产损失及停产期间经营费用增加。报告期内主要工作情况如下：</w:t>
      </w:r>
    </w:p>
    <w:p>
      <w:pPr>
        <w:framePr w:w="4886" w:x="1697" w:y="94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（一）积极落实整改，保障辽宁生产基地复工复产</w:t>
      </w:r>
    </w:p>
    <w:p>
      <w:pPr>
        <w:framePr w:w="9110" w:x="1277" w:y="1001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针对辽宁先达</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2•11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3"/>
          <w:sz w:val="21"/>
          <w:szCs w:val="22"/>
          <w:lang w:val="en-US" w:eastAsia="en-US" w:bidi="ar-SA"/>
        </w:rPr>
        <w:t>事故，公司从组织机构、资金投入、制度建设、教育培训、安全管理、应</w:t>
      </w:r>
    </w:p>
    <w:p>
      <w:pPr>
        <w:framePr w:w="9110" w:x="1277" w:y="100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急管理等方面落实企业安全生产主体责任，在组织好其他生产基地工作的同时着力推进辽宁生产</w:t>
      </w:r>
    </w:p>
    <w:p>
      <w:pPr>
        <w:framePr w:w="9110" w:x="1277" w:y="100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基地复产工作。公司从集团安委会层面，协调公司资源全力推进辽宁生产基地复产工作。报告期</w:t>
      </w:r>
    </w:p>
    <w:p>
      <w:pPr>
        <w:framePr w:w="9110" w:x="1277" w:y="100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内，辽宁生产基地烯酰吗啉车间、制剂车间、烯草酮车间先后完成整改验收，恢复试生产。</w:t>
      </w:r>
    </w:p>
    <w:p>
      <w:pPr>
        <w:framePr w:w="4042" w:x="1697" w:y="11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（二）落实主体责任，提升安全管控能力</w:t>
      </w:r>
    </w:p>
    <w:p>
      <w:pPr>
        <w:framePr w:w="9110" w:x="1277" w:y="122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2"/>
          <w:sz w:val="21"/>
          <w:szCs w:val="22"/>
          <w:lang w:val="en-US" w:eastAsia="en-US" w:bidi="ar-SA"/>
        </w:rPr>
        <w:t>年公司全面落实安全生产主体责任，先后对工厂</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DCS</w:t>
      </w:r>
      <w:r>
        <w:rPr>
          <w:rFonts w:ascii="SimSun" w:hAnsi="SimSun" w:eastAsiaTheme="minorEastAsia" w:cs="SimSun"/>
          <w:color w:val="000000"/>
          <w:spacing w:val="-30"/>
          <w:sz w:val="21"/>
          <w:szCs w:val="22"/>
          <w:lang w:val="en-US" w:eastAsia="en-US" w:bidi="ar-SA"/>
        </w:rPr>
        <w:t>、</w:t>
      </w:r>
      <w:r>
        <w:rPr>
          <w:rFonts w:ascii="SimSun" w:eastAsiaTheme="minorEastAsia" w:hAnsiTheme="minorHAnsi" w:cstheme="minorBidi"/>
          <w:color w:val="000000"/>
          <w:sz w:val="21"/>
          <w:szCs w:val="22"/>
          <w:lang w:val="en-US" w:eastAsia="en-US" w:bidi="ar-SA"/>
        </w:rPr>
        <w:t>SIS</w:t>
      </w:r>
      <w:r>
        <w:rPr>
          <w:rFonts w:ascii="SimSun" w:hAnsi="SimSun" w:eastAsiaTheme="minorEastAsia" w:cs="SimSun"/>
          <w:color w:val="000000"/>
          <w:spacing w:val="-2"/>
          <w:sz w:val="21"/>
          <w:szCs w:val="22"/>
          <w:lang w:val="en-US" w:eastAsia="en-US" w:bidi="ar-SA"/>
        </w:rPr>
        <w:t>、火灾报警等安全系统进行维</w:t>
      </w:r>
    </w:p>
    <w:p>
      <w:pPr>
        <w:framePr w:w="9110" w:x="1277" w:y="122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护升级，确保各项安全联锁装置有效运行；双重预防体系作为风险分级管控、日常隐患排查与治</w:t>
      </w:r>
    </w:p>
    <w:p>
      <w:pPr>
        <w:framePr w:w="9110" w:x="1277" w:y="122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理的根基，由上到下发现隐患，自下而上排除隐患。通过集团安委会内部的安全督导检查，确保</w:t>
      </w:r>
    </w:p>
    <w:p>
      <w:pPr>
        <w:framePr w:w="9110" w:x="1277" w:y="1229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各生产基地双重预防体系有效运行。</w:t>
      </w:r>
    </w:p>
    <w:p>
      <w:pPr>
        <w:framePr w:w="3197" w:x="1697" w:y="14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（三）科技创新平台迈入新台阶</w:t>
      </w:r>
    </w:p>
    <w:p>
      <w:pPr>
        <w:framePr w:w="9078" w:x="1277" w:y="145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公司始终把科技创新视为企业发展的主要驱动力，</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年公司持续加大在技术研发方面的投</w:t>
      </w:r>
    </w:p>
    <w:p>
      <w:pPr>
        <w:framePr w:w="9078" w:x="1277" w:y="145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入。</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月沈阳创新研究院已建成并投入使用；信息化实验室已搭建完成并投入运行；安</w:t>
      </w:r>
    </w:p>
    <w:p>
      <w:pPr>
        <w:framePr w:w="847" w:x="5389"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50" type="#_x0000_t75" style="width:445.6pt;height:2.7pt;margin-top:53.5pt;margin-left:61.4pt;mso-position-horizontal-relative:page;mso-position-vertical-relative:page;position:absolute;z-index:-25164800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1" w:name="br1_10"/>
      <w:bookmarkEnd w:id="11"/>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277" w:y="14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全分析实验室组建中。不断引进高层次人才加入研发队伍，同时与科研院校合作，提升创制化合</w:t>
      </w:r>
    </w:p>
    <w:p>
      <w:pPr>
        <w:framePr w:w="9110" w:x="1277" w:y="14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物研发水平。</w:t>
      </w:r>
    </w:p>
    <w:p>
      <w:pPr>
        <w:framePr w:w="9110" w:x="1277" w:y="238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年，由先达创新研究院创制，公司开发的国内首个应用于高粱田的苗后茎叶处理专利化</w:t>
      </w:r>
    </w:p>
    <w:p>
      <w:pPr>
        <w:framePr w:w="9110" w:x="1277" w:y="238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合物喹草酮及其制剂产品经农业农村部审批获得登记证书。喹草酮原药是农业农村部农药登记新</w:t>
      </w:r>
    </w:p>
    <w:p>
      <w:pPr>
        <w:framePr w:w="9110" w:x="1277" w:y="238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政实施后首个获批的新农药，填补国际国内市场空白，解决了高粱田恶性杂草难以防除的难题。</w:t>
      </w:r>
    </w:p>
    <w:p>
      <w:pPr>
        <w:framePr w:w="4675" w:x="1697" w:y="37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（四）出台限制性股票激励政策，提升公司业绩</w:t>
      </w:r>
    </w:p>
    <w:p>
      <w:pPr>
        <w:framePr w:w="9179" w:x="1277" w:y="42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7</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pacing w:val="-4"/>
          <w:sz w:val="21"/>
          <w:szCs w:val="22"/>
          <w:lang w:val="en-US" w:eastAsia="en-US" w:bidi="ar-SA"/>
        </w:rPr>
        <w:t>日，公司披露</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年限制性股票激励计划，向激励对象授予限制性股票数量</w:t>
      </w:r>
    </w:p>
    <w:p>
      <w:pPr>
        <w:framePr w:w="9179" w:x="1277" w:y="426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z w:val="21"/>
          <w:szCs w:val="22"/>
          <w:lang w:val="en-US" w:eastAsia="en-US" w:bidi="ar-SA"/>
        </w:rPr>
        <w:t>万股，占本激励计划草案公告时公司股本总额的</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w:t>
      </w:r>
      <w:r>
        <w:rPr>
          <w:rFonts w:ascii="SimSun" w:hAnsi="SimSun" w:eastAsiaTheme="minorEastAsia" w:cs="SimSun"/>
          <w:color w:val="000000"/>
          <w:sz w:val="21"/>
          <w:szCs w:val="22"/>
          <w:lang w:val="en-US" w:eastAsia="en-US" w:bidi="ar-SA"/>
        </w:rPr>
        <w:t>，激励对象涵盖董事、高级管理人员、</w:t>
      </w:r>
    </w:p>
    <w:p>
      <w:pPr>
        <w:framePr w:w="9179" w:x="1277" w:y="42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核心技术（业务）骨干人员共计</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34</w:t>
      </w:r>
      <w:r>
        <w:rPr>
          <w:rFonts w:ascii="SimSun" w:hAnsi="SimSun" w:eastAsiaTheme="minorEastAsia" w:cs="SimSun"/>
          <w:color w:val="000000"/>
          <w:spacing w:val="-2"/>
          <w:sz w:val="21"/>
          <w:szCs w:val="22"/>
          <w:lang w:val="en-US" w:eastAsia="en-US" w:bidi="ar-SA"/>
        </w:rPr>
        <w:t>人。公司通过充分调动管理层的积极性，加速推进新生产基地</w:t>
      </w:r>
    </w:p>
    <w:p>
      <w:pPr>
        <w:framePr w:w="9179" w:x="1277" w:y="42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投产进度，快速提升公司业绩。</w:t>
      </w:r>
    </w:p>
    <w:p>
      <w:pPr>
        <w:framePr w:w="5098" w:x="1697" w:y="6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（五）通过实施差异化产品策略，提升渠道市场份额</w:t>
      </w:r>
    </w:p>
    <w:p>
      <w:pPr>
        <w:framePr w:w="9110" w:x="1277" w:y="654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年国内制剂市场新上市</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苯唑草酮悬浮剂、</w:t>
      </w:r>
      <w:r>
        <w:rPr>
          <w:rFonts w:ascii="SimSun" w:eastAsiaTheme="minorEastAsia" w:hAnsiTheme="minorHAnsi" w:cstheme="minorBidi"/>
          <w:color w:val="000000"/>
          <w:spacing w:val="-1"/>
          <w:sz w:val="21"/>
          <w:szCs w:val="22"/>
          <w:lang w:val="en-US" w:eastAsia="en-US" w:bidi="ar-SA"/>
        </w:rPr>
        <w:t>43%</w:t>
      </w:r>
      <w:r>
        <w:rPr>
          <w:rFonts w:ascii="SimSun" w:hAnsi="SimSun" w:eastAsiaTheme="minorEastAsia" w:cs="SimSun"/>
          <w:color w:val="000000"/>
          <w:spacing w:val="-4"/>
          <w:sz w:val="21"/>
          <w:szCs w:val="22"/>
          <w:lang w:val="en-US" w:eastAsia="en-US" w:bidi="ar-SA"/>
        </w:rPr>
        <w:t>苯唑草酮·莠去津悬浮剂产品，有效解</w:t>
      </w:r>
    </w:p>
    <w:p>
      <w:pPr>
        <w:framePr w:w="9110" w:x="1277" w:y="654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决玉米生产中抗性杂草问题。围绕水稻田抗性杂草防除开展技术攻关，创制化合物吡唑喹草酯登</w:t>
      </w:r>
    </w:p>
    <w:p>
      <w:pPr>
        <w:framePr w:w="9110" w:x="1277" w:y="65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记有序进行中，并确定了新化合物苯丙草酮在水稻田的登记。进行了公司独有产品</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w:t>
      </w:r>
      <w:r>
        <w:rPr>
          <w:rFonts w:ascii="SimSun" w:hAnsi="SimSun" w:eastAsiaTheme="minorEastAsia" w:cs="SimSun"/>
          <w:color w:val="000000"/>
          <w:sz w:val="21"/>
          <w:szCs w:val="22"/>
          <w:lang w:val="en-US" w:eastAsia="en-US" w:bidi="ar-SA"/>
        </w:rPr>
        <w:t>滴丁酸在</w:t>
      </w:r>
    </w:p>
    <w:p>
      <w:pPr>
        <w:framePr w:w="9110" w:x="1277" w:y="65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苜蓿田应用开发并开展登记。</w:t>
      </w:r>
    </w:p>
    <w:p>
      <w:pPr>
        <w:framePr w:w="5309" w:x="1697" w:y="82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（六）海外登记和市场开拓并举，海外销售迈入新台阶</w:t>
      </w:r>
    </w:p>
    <w:p>
      <w:pPr>
        <w:framePr w:w="9110" w:x="1277" w:y="88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年公司在加强与海外主要目标市场客户登记合作同时，也在欧盟、拉美多个重点市场启</w:t>
      </w:r>
    </w:p>
    <w:p>
      <w:pPr>
        <w:framePr w:w="9110" w:x="1277" w:y="882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动了核心活性组分的自主登记布局，已于</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2"/>
          <w:sz w:val="21"/>
          <w:szCs w:val="22"/>
          <w:lang w:val="en-US" w:eastAsia="en-US" w:bidi="ar-SA"/>
        </w:rPr>
        <w:t>年底完成登记资料的提交，未来助力于海外市场的</w:t>
      </w:r>
    </w:p>
    <w:p>
      <w:pPr>
        <w:framePr w:w="9110" w:x="1277" w:y="88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拓展。</w:t>
      </w:r>
    </w:p>
    <w:p>
      <w:pPr>
        <w:framePr w:w="9068" w:x="1277" w:y="101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公司核心产品烯草酮，凭借产能优势，与跨国公司合作，烯草酮销量再创新高，进一步扩大</w:t>
      </w:r>
    </w:p>
    <w:p>
      <w:pPr>
        <w:framePr w:w="9068" w:x="1277" w:y="101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市场占有率。</w:t>
      </w:r>
    </w:p>
    <w:p>
      <w:pPr>
        <w:framePr w:w="2774" w:x="1277" w:y="111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二、报告期内主要经营情况</w:t>
      </w:r>
    </w:p>
    <w:p>
      <w:pPr>
        <w:framePr w:w="9076" w:x="1277" w:y="1164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报告期内，公司总资产</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233,500.22</w:t>
      </w:r>
      <w:r>
        <w:rPr>
          <w:rFonts w:ascii="SimSun" w:hAnsi="SimSun" w:eastAsiaTheme="minorEastAsia" w:cs="SimSun"/>
          <w:color w:val="000000"/>
          <w:sz w:val="21"/>
          <w:szCs w:val="22"/>
          <w:lang w:val="en-US" w:eastAsia="en-US" w:bidi="ar-SA"/>
        </w:rPr>
        <w:t>万元，归属于母公司股东权益为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170,378.20</w:t>
      </w:r>
      <w:r>
        <w:rPr>
          <w:rFonts w:ascii="SimSun" w:hAnsi="SimSun" w:eastAsiaTheme="minorEastAsia" w:cs="SimSun"/>
          <w:color w:val="000000"/>
          <w:sz w:val="21"/>
          <w:szCs w:val="22"/>
          <w:lang w:val="en-US" w:eastAsia="en-US" w:bidi="ar-SA"/>
        </w:rPr>
        <w:t>万元。公司</w:t>
      </w:r>
    </w:p>
    <w:p>
      <w:pPr>
        <w:framePr w:w="9076" w:x="1277" w:y="1164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实现营业收入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189,559.57</w:t>
      </w:r>
      <w:r>
        <w:rPr>
          <w:rFonts w:ascii="SimSun" w:hAnsi="SimSun" w:eastAsiaTheme="minorEastAsia" w:cs="SimSun"/>
          <w:color w:val="000000"/>
          <w:sz w:val="21"/>
          <w:szCs w:val="22"/>
          <w:lang w:val="en-US" w:eastAsia="en-US" w:bidi="ar-SA"/>
        </w:rPr>
        <w:t>万元，较上年同期增长</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20.39%</w:t>
      </w:r>
      <w:r>
        <w:rPr>
          <w:rFonts w:ascii="SimSun" w:hAnsi="SimSun" w:eastAsiaTheme="minorEastAsia" w:cs="SimSun"/>
          <w:color w:val="000000"/>
          <w:sz w:val="21"/>
          <w:szCs w:val="22"/>
          <w:lang w:val="en-US" w:eastAsia="en-US" w:bidi="ar-SA"/>
        </w:rPr>
        <w:t>；实现利润总额</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21,465.14</w:t>
      </w:r>
      <w:r>
        <w:rPr>
          <w:rFonts w:ascii="SimSun" w:hAnsi="SimSun" w:eastAsiaTheme="minorEastAsia" w:cs="SimSun"/>
          <w:color w:val="000000"/>
          <w:sz w:val="21"/>
          <w:szCs w:val="22"/>
          <w:lang w:val="en-US" w:eastAsia="en-US" w:bidi="ar-SA"/>
        </w:rPr>
        <w:t>万元，较上</w:t>
      </w:r>
    </w:p>
    <w:p>
      <w:pPr>
        <w:framePr w:w="9076" w:x="1277" w:y="1164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年同期下降</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10.24%</w:t>
      </w:r>
      <w:r>
        <w:rPr>
          <w:rFonts w:ascii="SimSun" w:hAnsi="SimSun" w:eastAsiaTheme="minorEastAsia" w:cs="SimSun"/>
          <w:color w:val="000000"/>
          <w:spacing w:val="-2"/>
          <w:sz w:val="21"/>
          <w:szCs w:val="22"/>
          <w:lang w:val="en-US" w:eastAsia="en-US" w:bidi="ar-SA"/>
        </w:rPr>
        <w:t>；实现归属于母公司股东净利润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17,603.43</w:t>
      </w:r>
      <w:r>
        <w:rPr>
          <w:rFonts w:ascii="SimSun" w:hAnsi="SimSun" w:eastAsiaTheme="minorEastAsia" w:cs="SimSun"/>
          <w:color w:val="000000"/>
          <w:spacing w:val="-4"/>
          <w:sz w:val="21"/>
          <w:szCs w:val="22"/>
          <w:lang w:val="en-US" w:eastAsia="en-US" w:bidi="ar-SA"/>
        </w:rPr>
        <w:t>万元，较上年同期下降</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13.97%</w:t>
      </w:r>
      <w:r>
        <w:rPr>
          <w:rFonts w:ascii="SimSun" w:hAnsi="SimSun" w:eastAsiaTheme="minorEastAsia" w:cs="SimSun"/>
          <w:color w:val="000000"/>
          <w:spacing w:val="-32"/>
          <w:sz w:val="21"/>
          <w:szCs w:val="22"/>
          <w:lang w:val="en-US" w:eastAsia="en-US" w:bidi="ar-SA"/>
        </w:rPr>
        <w:t>；实</w:t>
      </w:r>
    </w:p>
    <w:p>
      <w:pPr>
        <w:framePr w:w="9076" w:x="1277" w:y="1164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现扣除非经常性损益后归属于母公司净利润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16,494.02</w:t>
      </w:r>
      <w:r>
        <w:rPr>
          <w:rFonts w:ascii="SimSun" w:hAnsi="SimSun" w:eastAsiaTheme="minorEastAsia" w:cs="SimSun"/>
          <w:color w:val="000000"/>
          <w:sz w:val="21"/>
          <w:szCs w:val="22"/>
          <w:lang w:val="en-US" w:eastAsia="en-US" w:bidi="ar-SA"/>
        </w:rPr>
        <w:t>万元，较上年同期下降</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22.42%</w:t>
      </w:r>
      <w:r>
        <w:rPr>
          <w:rFonts w:ascii="SimSun" w:hAnsi="SimSun" w:eastAsiaTheme="minorEastAsia" w:cs="SimSun"/>
          <w:color w:val="000000"/>
          <w:sz w:val="21"/>
          <w:szCs w:val="22"/>
          <w:lang w:val="en-US" w:eastAsia="en-US" w:bidi="ar-SA"/>
        </w:rPr>
        <w:t>。</w:t>
      </w:r>
    </w:p>
    <w:p>
      <w:pPr>
        <w:framePr w:w="662" w:x="1277" w:y="133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z w:val="21"/>
          <w:szCs w:val="22"/>
          <w:lang w:val="en-US" w:eastAsia="en-US" w:bidi="ar-SA"/>
        </w:rPr>
        <w:t>)</w:t>
      </w:r>
    </w:p>
    <w:p>
      <w:pPr>
        <w:framePr w:w="1507" w:x="2117" w:y="1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主营业务分析</w:t>
      </w:r>
    </w:p>
    <w:p>
      <w:pPr>
        <w:framePr w:w="4457" w:x="1277" w:y="137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利润表及现金流量表相关科目变动分析表</w:t>
      </w:r>
    </w:p>
    <w:p>
      <w:pPr>
        <w:framePr w:w="3483" w:x="6870" w:y="14060"/>
        <w:widowControl w:val="0"/>
        <w:autoSpaceDE w:val="0"/>
        <w:autoSpaceDN w:val="0"/>
        <w:spacing w:line="211" w:lineRule="exact"/>
        <w:ind w:left="11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3483" w:x="6870" w:y="1406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上年同期数</w:t>
      </w:r>
      <w:r>
        <w:rPr>
          <w:rFonts w:eastAsiaTheme="minorEastAsia" w:hAnsiTheme="minorHAnsi" w:cstheme="minorBidi"/>
          <w:color w:val="000000"/>
          <w:spacing w:val="622"/>
          <w:sz w:val="21"/>
          <w:szCs w:val="22"/>
          <w:lang w:val="en-US" w:eastAsia="en-US" w:bidi="ar-SA"/>
        </w:rPr>
        <w:t xml:space="preserve"> </w:t>
      </w:r>
      <w:r>
        <w:rPr>
          <w:rFonts w:ascii="SimSun" w:hAnsi="SimSun" w:eastAsiaTheme="minorEastAsia" w:cs="SimSun"/>
          <w:color w:val="000000"/>
          <w:sz w:val="21"/>
          <w:szCs w:val="22"/>
          <w:lang w:val="en-US" w:eastAsia="en-US" w:bidi="ar-SA"/>
        </w:rPr>
        <w:t>变动比例（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662" w:x="2650" w:y="143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科目</w:t>
      </w:r>
    </w:p>
    <w:p>
      <w:pPr>
        <w:framePr w:w="874" w:x="5183" w:y="143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本期数</w:t>
      </w:r>
    </w:p>
    <w:p>
      <w:pPr>
        <w:framePr w:w="1085" w:x="1277" w:y="146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085" w:x="1277" w:y="1462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w:t>
      </w:r>
    </w:p>
    <w:p>
      <w:pPr>
        <w:framePr w:w="3819" w:x="4659" w:y="146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1,895,595,666.25</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1,574,570,054.14</w:t>
      </w:r>
    </w:p>
    <w:p>
      <w:pPr>
        <w:framePr w:w="3819" w:x="4659" w:y="1462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1,368,289,383.96</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1,019,742,537.63</w:t>
      </w:r>
    </w:p>
    <w:p>
      <w:pPr>
        <w:framePr w:w="768" w:x="9585" w:y="146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20.39</w:t>
      </w:r>
    </w:p>
    <w:p>
      <w:pPr>
        <w:framePr w:w="768" w:x="9585" w:y="1462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34.18</w:t>
      </w:r>
    </w:p>
    <w:p>
      <w:pPr>
        <w:framePr w:w="847" w:x="5389"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51" type="#_x0000_t75" style="width:445.6pt;height:2.7pt;margin-top:53.5pt;margin-left:61.4pt;mso-position-horizontal-relative:page;mso-position-vertical-relative:page;position:absolute;z-index:-251449344">
            <v:imagedata r:id="rId26" o:title=""/>
          </v:shape>
        </w:pict>
      </w:r>
      <w:r>
        <w:rPr>
          <w:noProof/>
        </w:rPr>
        <w:pict>
          <v:shape id="_x0000_s1052" type="#_x0000_t75" style="width:455pt;height:44.85pt;margin-top:714.1pt;margin-left:57.2pt;mso-position-horizontal-relative:page;mso-position-vertical-relative:page;position:absolute;z-index:-251646976">
            <v:imagedata r:id="rId27" o:title=""/>
          </v:shape>
        </w:pict>
      </w:r>
    </w:p>
    <w:p>
      <w:pPr>
        <w:spacing w:line="0" w:lineRule="atLeast"/>
        <w:rPr>
          <w:rFonts w:ascii="Arial" w:eastAsiaTheme="minorEastAsia" w:hAnsiTheme="minorHAnsi" w:cstheme="minorBidi"/>
          <w:color w:val="FF0000"/>
          <w:sz w:val="2"/>
          <w:szCs w:val="22"/>
          <w:lang w:val="en-US" w:eastAsia="en-US" w:bidi="ar-SA"/>
        </w:rPr>
      </w:pPr>
      <w:bookmarkStart w:id="12" w:name="br1_11"/>
      <w:bookmarkEnd w:id="12"/>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1277" w:y="1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销售费用</w:t>
      </w:r>
    </w:p>
    <w:p>
      <w:pPr>
        <w:framePr w:w="1718" w:x="4868" w:y="1461"/>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35,025,076.41</w:t>
      </w:r>
    </w:p>
    <w:p>
      <w:pPr>
        <w:framePr w:w="1718" w:x="4868" w:y="14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165,984,000.89</w:t>
      </w:r>
    </w:p>
    <w:p>
      <w:pPr>
        <w:framePr w:w="1718" w:x="4868" w:y="146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95,964,000.61</w:t>
      </w:r>
    </w:p>
    <w:p>
      <w:pPr>
        <w:framePr w:w="1718" w:x="4868"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21,365,791.94</w:t>
      </w:r>
    </w:p>
    <w:p>
      <w:pPr>
        <w:framePr w:w="1718" w:x="4868" w:y="14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361,385,546.72</w:t>
      </w:r>
    </w:p>
    <w:p>
      <w:pPr>
        <w:framePr w:w="1718" w:x="6765" w:y="1461"/>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49,224,586.27</w:t>
      </w:r>
    </w:p>
    <w:p>
      <w:pPr>
        <w:framePr w:w="1718" w:x="6765" w:y="14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166,895,630.55</w:t>
      </w:r>
    </w:p>
    <w:p>
      <w:pPr>
        <w:framePr w:w="1718" w:x="6765" w:y="146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82,408,984.06</w:t>
      </w:r>
    </w:p>
    <w:p>
      <w:pPr>
        <w:framePr w:w="1718" w:x="6765"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-5,509,352.08</w:t>
      </w:r>
    </w:p>
    <w:p>
      <w:pPr>
        <w:framePr w:w="1718" w:x="6765" w:y="14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399,562,923.76</w:t>
      </w:r>
    </w:p>
    <w:p>
      <w:pPr>
        <w:framePr w:w="874" w:x="9480"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-28.85</w:t>
      </w:r>
    </w:p>
    <w:p>
      <w:pPr>
        <w:framePr w:w="874" w:x="9480"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-0.55</w:t>
      </w:r>
    </w:p>
    <w:p>
      <w:pPr>
        <w:framePr w:w="1085" w:x="1277" w:y="17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管理费用</w:t>
      </w:r>
    </w:p>
    <w:p>
      <w:pPr>
        <w:framePr w:w="1085" w:x="1277" w:y="2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研发费用</w:t>
      </w:r>
    </w:p>
    <w:p>
      <w:pPr>
        <w:framePr w:w="768" w:x="9585" w:y="20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16.45</w:t>
      </w:r>
    </w:p>
    <w:p>
      <w:pPr>
        <w:framePr w:w="1085" w:x="1277" w:y="23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w:t>
      </w:r>
    </w:p>
    <w:p>
      <w:pPr>
        <w:framePr w:w="874" w:x="9480" w:y="23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487.81</w:t>
      </w:r>
    </w:p>
    <w:p>
      <w:pPr>
        <w:framePr w:w="874" w:x="9480" w:y="230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-9.55</w:t>
      </w:r>
    </w:p>
    <w:p>
      <w:pPr>
        <w:framePr w:w="2986" w:x="1277" w:y="25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2986" w:x="1277" w:y="259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投资活动产生的现金流量净额</w:t>
      </w:r>
    </w:p>
    <w:p>
      <w:pPr>
        <w:framePr w:w="2986" w:x="1277" w:y="259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筹资活动产生的现金流量净额</w:t>
      </w:r>
    </w:p>
    <w:p>
      <w:pPr>
        <w:framePr w:w="3713" w:x="4765" w:y="28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-134,157,098.63</w:t>
      </w:r>
      <w:r>
        <w:rPr>
          <w:rFonts w:ascii="SimSun" w:eastAsiaTheme="minorEastAsia" w:hAnsiTheme="minorHAnsi" w:cstheme="minorBidi"/>
          <w:color w:val="000000"/>
          <w:spacing w:val="2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-363,016,464.84</w:t>
      </w:r>
    </w:p>
    <w:p>
      <w:pPr>
        <w:framePr w:w="3713" w:x="4765" w:y="287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-235,633,167.14</w:t>
      </w:r>
      <w:r>
        <w:rPr>
          <w:rFonts w:ascii="SimSun" w:eastAsiaTheme="minorEastAsia" w:hAnsiTheme="minorHAnsi" w:cstheme="minorBidi"/>
          <w:color w:val="000000"/>
          <w:spacing w:val="4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77,600,806.23</w:t>
      </w:r>
    </w:p>
    <w:p>
      <w:pPr>
        <w:framePr w:w="768" w:x="9585" w:y="28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63.04</w:t>
      </w:r>
    </w:p>
    <w:p>
      <w:pPr>
        <w:framePr w:w="979" w:x="9376" w:y="31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-403.65</w:t>
      </w:r>
    </w:p>
    <w:p>
      <w:pPr>
        <w:framePr w:w="2138" w:x="1277" w:y="37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收入和成本分析</w:t>
      </w:r>
    </w:p>
    <w:p>
      <w:pPr>
        <w:framePr w:w="1817" w:x="1277" w:y="41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79" w:x="1277" w:y="467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报告期内实现营业收入</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189,559.57</w:t>
      </w:r>
      <w:r>
        <w:rPr>
          <w:rFonts w:ascii="SimSun" w:hAnsi="SimSun" w:eastAsiaTheme="minorEastAsia" w:cs="SimSun"/>
          <w:color w:val="000000"/>
          <w:spacing w:val="1"/>
          <w:sz w:val="21"/>
          <w:szCs w:val="22"/>
          <w:lang w:val="en-US" w:eastAsia="en-US" w:bidi="ar-SA"/>
        </w:rPr>
        <w:t>万元，同比增长</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3"/>
          <w:sz w:val="21"/>
          <w:szCs w:val="22"/>
          <w:lang w:val="en-US" w:eastAsia="en-US" w:bidi="ar-SA"/>
        </w:rPr>
        <w:t>20.39%</w:t>
      </w:r>
      <w:r>
        <w:rPr>
          <w:rFonts w:ascii="SimSun" w:hAnsi="SimSun" w:eastAsiaTheme="minorEastAsia" w:cs="SimSun"/>
          <w:color w:val="000000"/>
          <w:spacing w:val="2"/>
          <w:sz w:val="21"/>
          <w:szCs w:val="22"/>
          <w:lang w:val="en-US" w:eastAsia="en-US" w:bidi="ar-SA"/>
        </w:rPr>
        <w:t>；营业成本为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136,828.94</w:t>
      </w:r>
      <w:r>
        <w:rPr>
          <w:rFonts w:ascii="SimSun" w:hAnsi="SimSun" w:eastAsiaTheme="minorEastAsia" w:cs="SimSun"/>
          <w:color w:val="000000"/>
          <w:spacing w:val="2"/>
          <w:sz w:val="21"/>
          <w:szCs w:val="22"/>
          <w:lang w:val="en-US" w:eastAsia="en-US" w:bidi="ar-SA"/>
        </w:rPr>
        <w:t>万元，</w:t>
      </w:r>
    </w:p>
    <w:p>
      <w:pPr>
        <w:framePr w:w="9179" w:x="1277" w:y="46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同比增长</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34.18%</w:t>
      </w:r>
      <w:r>
        <w:rPr>
          <w:rFonts w:ascii="SimSun" w:hAnsi="SimSun" w:eastAsiaTheme="minorEastAsia" w:cs="SimSun"/>
          <w:color w:val="000000"/>
          <w:sz w:val="21"/>
          <w:szCs w:val="22"/>
          <w:lang w:val="en-US" w:eastAsia="en-US" w:bidi="ar-SA"/>
        </w:rPr>
        <w:t>，主要系随收入增加而增加，部分产品销售价格下降所致。</w:t>
      </w:r>
    </w:p>
    <w:p>
      <w:pPr>
        <w:framePr w:w="4393" w:x="1277" w:y="56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主营业务分行业、分产品、分地区情况</w:t>
      </w:r>
    </w:p>
    <w:p>
      <w:pPr>
        <w:framePr w:w="2343" w:x="8010" w:y="59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141" w:x="5149" w:y="62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主营业务分行业情况</w:t>
      </w:r>
    </w:p>
    <w:p>
      <w:pPr>
        <w:framePr w:w="1123" w:x="6954" w:y="65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123" w:x="6954" w:y="650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比上年增</w:t>
      </w:r>
    </w:p>
    <w:p>
      <w:pPr>
        <w:framePr w:w="1123" w:x="6954" w:y="6509"/>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1123" w:x="6954" w:y="6509"/>
        <w:widowControl w:val="0"/>
        <w:autoSpaceDE w:val="0"/>
        <w:autoSpaceDN w:val="0"/>
        <w:spacing w:before="72" w:line="211" w:lineRule="exact"/>
        <w:ind w:left="35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20.51</w:t>
      </w:r>
    </w:p>
    <w:p>
      <w:pPr>
        <w:framePr w:w="1085" w:x="8140" w:y="65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w:t>
      </w:r>
    </w:p>
    <w:p>
      <w:pPr>
        <w:framePr w:w="874" w:x="5996" w:y="66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毛利率</w:t>
      </w:r>
    </w:p>
    <w:p>
      <w:pPr>
        <w:framePr w:w="874" w:x="1032" w:y="6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分行业</w:t>
      </w:r>
    </w:p>
    <w:p>
      <w:pPr>
        <w:framePr w:w="1085" w:x="2516" w:y="6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085" w:x="4429" w:y="6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w:t>
      </w:r>
    </w:p>
    <w:p>
      <w:pPr>
        <w:framePr w:w="3586" w:x="8140" w:y="6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比上年增</w:t>
      </w:r>
      <w:r>
        <w:rPr>
          <w:rFonts w:eastAsiaTheme="minorEastAsia" w:hAnsiTheme="minorHAnsi" w:cstheme="minorBidi"/>
          <w:color w:val="000000"/>
          <w:spacing w:val="249"/>
          <w:sz w:val="21"/>
          <w:szCs w:val="22"/>
          <w:lang w:val="en-US" w:eastAsia="en-US" w:bidi="ar-SA"/>
        </w:rPr>
        <w:t xml:space="preserve"> </w:t>
      </w:r>
      <w:r>
        <w:rPr>
          <w:rFonts w:ascii="SimSun" w:hAnsi="SimSun" w:eastAsiaTheme="minorEastAsia" w:cs="SimSun"/>
          <w:color w:val="000000"/>
          <w:sz w:val="21"/>
          <w:szCs w:val="22"/>
          <w:lang w:val="en-US" w:eastAsia="en-US" w:bidi="ar-SA"/>
        </w:rPr>
        <w:t>毛利率比上年增减（</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3586" w:x="8140" w:y="6783"/>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768" w:x="6049" w:y="69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085" w:x="816" w:y="73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w:t>
      </w:r>
    </w:p>
    <w:p>
      <w:pPr>
        <w:framePr w:w="1085" w:x="816" w:y="733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其他业务</w:t>
      </w:r>
    </w:p>
    <w:p>
      <w:pPr>
        <w:framePr w:w="3855" w:x="2096" w:y="73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1,880,310,553.74</w:t>
      </w:r>
      <w:r>
        <w:rPr>
          <w:rFonts w:ascii="SimSun" w:eastAsiaTheme="minorEastAsia" w:hAnsiTheme="minorHAnsi" w:cstheme="minorBidi"/>
          <w:color w:val="000000"/>
          <w:spacing w:val="14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1,357,901,589.48</w:t>
      </w:r>
    </w:p>
    <w:p>
      <w:pPr>
        <w:framePr w:w="768" w:x="6174" w:y="73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27.78</w:t>
      </w:r>
    </w:p>
    <w:p>
      <w:pPr>
        <w:framePr w:w="768" w:x="6174" w:y="733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32.04</w:t>
      </w:r>
    </w:p>
    <w:p>
      <w:pPr>
        <w:framePr w:w="768" w:x="8541" w:y="73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34.73</w:t>
      </w:r>
    </w:p>
    <w:p>
      <w:pPr>
        <w:framePr w:w="2134" w:x="9484" w:y="7337"/>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7.62</w:t>
      </w:r>
      <w:r>
        <w:rPr>
          <w:rFonts w:ascii="SimSun" w:hAnsi="SimSun" w:eastAsiaTheme="minorEastAsia" w:cs="SimSun"/>
          <w:color w:val="000000"/>
          <w:sz w:val="21"/>
          <w:szCs w:val="22"/>
          <w:lang w:val="en-US" w:eastAsia="en-US" w:bidi="ar-SA"/>
        </w:rPr>
        <w:t>个百分点</w:t>
      </w:r>
    </w:p>
    <w:p>
      <w:pPr>
        <w:framePr w:w="2134" w:x="9484" w:y="733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增加</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15.24</w:t>
      </w:r>
      <w:r>
        <w:rPr>
          <w:rFonts w:ascii="SimSun" w:hAnsi="SimSun" w:eastAsiaTheme="minorEastAsia" w:cs="SimSun"/>
          <w:color w:val="000000"/>
          <w:sz w:val="21"/>
          <w:szCs w:val="22"/>
          <w:lang w:val="en-US" w:eastAsia="en-US" w:bidi="ar-SA"/>
        </w:rPr>
        <w:t>个百分点</w:t>
      </w:r>
    </w:p>
    <w:p>
      <w:pPr>
        <w:framePr w:w="1613" w:x="2410" w:y="7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15,285,112.51</w:t>
      </w:r>
    </w:p>
    <w:p>
      <w:pPr>
        <w:framePr w:w="1613" w:x="4343" w:y="7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10,387,794.48</w:t>
      </w:r>
    </w:p>
    <w:p>
      <w:pPr>
        <w:framePr w:w="662" w:x="7415" w:y="7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7.38</w:t>
      </w:r>
    </w:p>
    <w:p>
      <w:pPr>
        <w:framePr w:w="874" w:x="8435" w:y="7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-12.28</w:t>
      </w:r>
    </w:p>
    <w:p>
      <w:pPr>
        <w:framePr w:w="2141" w:x="5149" w:y="79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主营业务分产品情况</w:t>
      </w:r>
    </w:p>
    <w:p>
      <w:pPr>
        <w:framePr w:w="1085" w:x="6954" w:y="81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085" w:x="8140" w:y="81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w:t>
      </w:r>
    </w:p>
    <w:p>
      <w:pPr>
        <w:framePr w:w="874" w:x="5996" w:y="8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毛利率</w:t>
      </w:r>
    </w:p>
    <w:p>
      <w:pPr>
        <w:framePr w:w="874" w:x="1032" w:y="8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分产品</w:t>
      </w:r>
    </w:p>
    <w:p>
      <w:pPr>
        <w:framePr w:w="1085" w:x="2516" w:y="8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085" w:x="4429" w:y="8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w:t>
      </w:r>
    </w:p>
    <w:p>
      <w:pPr>
        <w:framePr w:w="1123" w:x="6954" w:y="8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比上年增</w:t>
      </w:r>
    </w:p>
    <w:p>
      <w:pPr>
        <w:framePr w:w="1123" w:x="6954" w:y="8455"/>
        <w:widowControl w:val="0"/>
        <w:autoSpaceDE w:val="0"/>
        <w:autoSpaceDN w:val="0"/>
        <w:spacing w:before="63"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1123" w:x="6954" w:y="8455"/>
        <w:widowControl w:val="0"/>
        <w:autoSpaceDE w:val="0"/>
        <w:autoSpaceDN w:val="0"/>
        <w:spacing w:before="70" w:line="211" w:lineRule="exact"/>
        <w:ind w:left="35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24.09</w:t>
      </w:r>
    </w:p>
    <w:p>
      <w:pPr>
        <w:framePr w:w="3586" w:x="8140" w:y="8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比上年增</w:t>
      </w:r>
      <w:r>
        <w:rPr>
          <w:rFonts w:eastAsiaTheme="minorEastAsia" w:hAnsiTheme="minorHAnsi" w:cstheme="minorBidi"/>
          <w:color w:val="000000"/>
          <w:spacing w:val="249"/>
          <w:sz w:val="21"/>
          <w:szCs w:val="22"/>
          <w:lang w:val="en-US" w:eastAsia="en-US" w:bidi="ar-SA"/>
        </w:rPr>
        <w:t xml:space="preserve"> </w:t>
      </w:r>
      <w:r>
        <w:rPr>
          <w:rFonts w:ascii="SimSun" w:hAnsi="SimSun" w:eastAsiaTheme="minorEastAsia" w:cs="SimSun"/>
          <w:color w:val="000000"/>
          <w:sz w:val="21"/>
          <w:szCs w:val="22"/>
          <w:lang w:val="en-US" w:eastAsia="en-US" w:bidi="ar-SA"/>
        </w:rPr>
        <w:t>毛利率比上年增减（</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3586" w:x="8140" w:y="8455"/>
        <w:widowControl w:val="0"/>
        <w:autoSpaceDE w:val="0"/>
        <w:autoSpaceDN w:val="0"/>
        <w:spacing w:before="63"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768" w:x="6049" w:y="85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874" w:x="816" w:y="90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除草剂</w:t>
      </w:r>
    </w:p>
    <w:p>
      <w:pPr>
        <w:framePr w:w="874" w:x="816" w:y="901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杀菌剂</w:t>
      </w:r>
    </w:p>
    <w:p>
      <w:pPr>
        <w:framePr w:w="874" w:x="816" w:y="901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中间体</w:t>
      </w:r>
    </w:p>
    <w:p>
      <w:pPr>
        <w:framePr w:w="3855" w:x="2096" w:y="90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1,662,707,314.66</w:t>
      </w:r>
      <w:r>
        <w:rPr>
          <w:rFonts w:ascii="SimSun" w:eastAsiaTheme="minorEastAsia" w:hAnsiTheme="minorHAnsi" w:cstheme="minorBidi"/>
          <w:color w:val="000000"/>
          <w:spacing w:val="14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1,243,530,649.82</w:t>
      </w:r>
    </w:p>
    <w:p>
      <w:pPr>
        <w:framePr w:w="768" w:x="6174" w:y="90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25.21</w:t>
      </w:r>
    </w:p>
    <w:p>
      <w:pPr>
        <w:framePr w:w="768" w:x="6174" w:y="901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51.89</w:t>
      </w:r>
    </w:p>
    <w:p>
      <w:pPr>
        <w:framePr w:w="768" w:x="6174" w:y="901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29.14</w:t>
      </w:r>
    </w:p>
    <w:p>
      <w:pPr>
        <w:framePr w:w="768" w:x="8541" w:y="90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38.06</w:t>
      </w:r>
    </w:p>
    <w:p>
      <w:pPr>
        <w:framePr w:w="768" w:x="8541" w:y="901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47.69</w:t>
      </w:r>
    </w:p>
    <w:p>
      <w:pPr>
        <w:framePr w:w="2134" w:x="9484" w:y="90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7.571</w:t>
      </w:r>
      <w:r>
        <w:rPr>
          <w:rFonts w:ascii="SimSun" w:hAnsi="SimSun" w:eastAsiaTheme="minorEastAsia" w:cs="SimSun"/>
          <w:color w:val="000000"/>
          <w:sz w:val="21"/>
          <w:szCs w:val="22"/>
          <w:lang w:val="en-US" w:eastAsia="en-US" w:bidi="ar-SA"/>
        </w:rPr>
        <w:t>个百分点</w:t>
      </w:r>
    </w:p>
    <w:p>
      <w:pPr>
        <w:framePr w:w="2134" w:x="9484" w:y="9010"/>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9.86</w:t>
      </w:r>
      <w:r>
        <w:rPr>
          <w:rFonts w:ascii="SimSun" w:hAnsi="SimSun" w:eastAsiaTheme="minorEastAsia" w:cs="SimSun"/>
          <w:color w:val="000000"/>
          <w:sz w:val="21"/>
          <w:szCs w:val="22"/>
          <w:lang w:val="en-US" w:eastAsia="en-US" w:bidi="ar-SA"/>
        </w:rPr>
        <w:t>个百分点</w:t>
      </w:r>
    </w:p>
    <w:p>
      <w:pPr>
        <w:framePr w:w="2134" w:x="9484" w:y="9010"/>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0.51</w:t>
      </w:r>
      <w:r>
        <w:rPr>
          <w:rFonts w:ascii="SimSun" w:hAnsi="SimSun" w:eastAsiaTheme="minorEastAsia" w:cs="SimSun"/>
          <w:color w:val="000000"/>
          <w:sz w:val="21"/>
          <w:szCs w:val="22"/>
          <w:lang w:val="en-US" w:eastAsia="en-US" w:bidi="ar-SA"/>
        </w:rPr>
        <w:t>个百分点</w:t>
      </w:r>
    </w:p>
    <w:p>
      <w:pPr>
        <w:framePr w:w="1718" w:x="2304" w:y="92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175,075,136.12</w:t>
      </w:r>
    </w:p>
    <w:p>
      <w:pPr>
        <w:framePr w:w="1718" w:x="2304" w:y="929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42,528,102.96</w:t>
      </w:r>
    </w:p>
    <w:p>
      <w:pPr>
        <w:framePr w:w="1613" w:x="4343" w:y="92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84,234,019.52</w:t>
      </w:r>
    </w:p>
    <w:p>
      <w:pPr>
        <w:framePr w:w="1613" w:x="4343" w:y="92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30,136,920.14</w:t>
      </w:r>
    </w:p>
    <w:p>
      <w:pPr>
        <w:framePr w:w="768" w:x="7309" w:y="92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17.42</w:t>
      </w:r>
    </w:p>
    <w:p>
      <w:pPr>
        <w:framePr w:w="874" w:x="7204" w:y="95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-40.37</w:t>
      </w:r>
    </w:p>
    <w:p>
      <w:pPr>
        <w:framePr w:w="874" w:x="8435" w:y="95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-39.94</w:t>
      </w:r>
    </w:p>
    <w:p>
      <w:pPr>
        <w:framePr w:w="2141" w:x="5149" w:y="98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主营业务分地区情况</w:t>
      </w:r>
    </w:p>
    <w:p>
      <w:pPr>
        <w:framePr w:w="1085" w:x="6954" w:y="101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085" w:x="8140" w:y="101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w:t>
      </w:r>
    </w:p>
    <w:p>
      <w:pPr>
        <w:framePr w:w="874" w:x="5996" w:y="102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毛利率</w:t>
      </w:r>
    </w:p>
    <w:p>
      <w:pPr>
        <w:framePr w:w="874" w:x="1032" w:y="10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分地区</w:t>
      </w:r>
    </w:p>
    <w:p>
      <w:pPr>
        <w:framePr w:w="1085" w:x="2516" w:y="10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085" w:x="4429" w:y="10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w:t>
      </w:r>
    </w:p>
    <w:p>
      <w:pPr>
        <w:framePr w:w="1123" w:x="6954" w:y="10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比上年增</w:t>
      </w:r>
    </w:p>
    <w:p>
      <w:pPr>
        <w:framePr w:w="1123" w:x="6954" w:y="10414"/>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1123" w:x="6954" w:y="10414"/>
        <w:widowControl w:val="0"/>
        <w:autoSpaceDE w:val="0"/>
        <w:autoSpaceDN w:val="0"/>
        <w:spacing w:before="72" w:line="211" w:lineRule="exact"/>
        <w:ind w:left="35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32.19</w:t>
      </w:r>
    </w:p>
    <w:p>
      <w:pPr>
        <w:framePr w:w="3586" w:x="8140" w:y="10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比上年增</w:t>
      </w:r>
      <w:r>
        <w:rPr>
          <w:rFonts w:eastAsiaTheme="minorEastAsia" w:hAnsiTheme="minorHAnsi" w:cstheme="minorBidi"/>
          <w:color w:val="000000"/>
          <w:spacing w:val="249"/>
          <w:sz w:val="21"/>
          <w:szCs w:val="22"/>
          <w:lang w:val="en-US" w:eastAsia="en-US" w:bidi="ar-SA"/>
        </w:rPr>
        <w:t xml:space="preserve"> </w:t>
      </w:r>
      <w:r>
        <w:rPr>
          <w:rFonts w:ascii="SimSun" w:hAnsi="SimSun" w:eastAsiaTheme="minorEastAsia" w:cs="SimSun"/>
          <w:color w:val="000000"/>
          <w:sz w:val="21"/>
          <w:szCs w:val="22"/>
          <w:lang w:val="en-US" w:eastAsia="en-US" w:bidi="ar-SA"/>
        </w:rPr>
        <w:t>毛利率比上年增减（</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3586" w:x="8140" w:y="10414"/>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768" w:x="6049" w:y="105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085" w:x="816" w:y="109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国内销售</w:t>
      </w:r>
    </w:p>
    <w:p>
      <w:pPr>
        <w:framePr w:w="1085" w:x="816" w:y="109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直接出口</w:t>
      </w:r>
    </w:p>
    <w:p>
      <w:pPr>
        <w:framePr w:w="1085" w:x="816" w:y="109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间接出口</w:t>
      </w:r>
    </w:p>
    <w:p>
      <w:pPr>
        <w:framePr w:w="1718" w:x="2096"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557,756,178.74</w:t>
      </w:r>
    </w:p>
    <w:p>
      <w:pPr>
        <w:framePr w:w="1718" w:x="2096" w:y="1096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854,169,718.79</w:t>
      </w:r>
    </w:p>
    <w:p>
      <w:pPr>
        <w:framePr w:w="1718" w:x="2096" w:y="109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468,384,656.21</w:t>
      </w:r>
    </w:p>
    <w:p>
      <w:pPr>
        <w:framePr w:w="1718" w:x="3992"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394,427,442.59</w:t>
      </w:r>
    </w:p>
    <w:p>
      <w:pPr>
        <w:framePr w:w="1718" w:x="3992" w:y="1096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614,408,054.11</w:t>
      </w:r>
    </w:p>
    <w:p>
      <w:pPr>
        <w:framePr w:w="1718" w:x="3992" w:y="109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349,066,092.78</w:t>
      </w:r>
    </w:p>
    <w:p>
      <w:pPr>
        <w:framePr w:w="768" w:x="6174"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29.28</w:t>
      </w:r>
    </w:p>
    <w:p>
      <w:pPr>
        <w:framePr w:w="768" w:x="6174" w:y="1096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28.07</w:t>
      </w:r>
    </w:p>
    <w:p>
      <w:pPr>
        <w:framePr w:w="768" w:x="6174" w:y="109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25.47</w:t>
      </w:r>
    </w:p>
    <w:p>
      <w:pPr>
        <w:framePr w:w="768" w:x="8541"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51.52</w:t>
      </w:r>
    </w:p>
    <w:p>
      <w:pPr>
        <w:framePr w:w="768" w:x="8541" w:y="10969"/>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7.41</w:t>
      </w:r>
    </w:p>
    <w:p>
      <w:pPr>
        <w:framePr w:w="2028" w:x="9590" w:y="109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9.02</w:t>
      </w:r>
      <w:r>
        <w:rPr>
          <w:rFonts w:ascii="SimSun" w:hAnsi="SimSun" w:eastAsiaTheme="minorEastAsia" w:cs="SimSun"/>
          <w:color w:val="000000"/>
          <w:sz w:val="21"/>
          <w:szCs w:val="22"/>
          <w:lang w:val="en-US" w:eastAsia="en-US" w:bidi="ar-SA"/>
        </w:rPr>
        <w:t>个百分点</w:t>
      </w:r>
    </w:p>
    <w:p>
      <w:pPr>
        <w:framePr w:w="2028" w:x="9590" w:y="109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7.45</w:t>
      </w:r>
      <w:r>
        <w:rPr>
          <w:rFonts w:ascii="SimSun" w:hAnsi="SimSun" w:eastAsiaTheme="minorEastAsia" w:cs="SimSun"/>
          <w:color w:val="000000"/>
          <w:sz w:val="21"/>
          <w:szCs w:val="22"/>
          <w:lang w:val="en-US" w:eastAsia="en-US" w:bidi="ar-SA"/>
        </w:rPr>
        <w:t>个百分点</w:t>
      </w:r>
    </w:p>
    <w:p>
      <w:pPr>
        <w:framePr w:w="2028" w:x="9590" w:y="109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4.66</w:t>
      </w:r>
      <w:r>
        <w:rPr>
          <w:rFonts w:ascii="SimSun" w:hAnsi="SimSun" w:eastAsiaTheme="minorEastAsia" w:cs="SimSun"/>
          <w:color w:val="000000"/>
          <w:sz w:val="21"/>
          <w:szCs w:val="22"/>
          <w:lang w:val="en-US" w:eastAsia="en-US" w:bidi="ar-SA"/>
        </w:rPr>
        <w:t>个百分点</w:t>
      </w:r>
    </w:p>
    <w:p>
      <w:pPr>
        <w:framePr w:w="768" w:x="7309" w:y="112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-3.71</w:t>
      </w:r>
    </w:p>
    <w:p>
      <w:pPr>
        <w:framePr w:w="768" w:x="7309" w:y="1153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86.38</w:t>
      </w:r>
    </w:p>
    <w:p>
      <w:pPr>
        <w:framePr w:w="768" w:x="8541" w:y="1153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98.81</w:t>
      </w:r>
    </w:p>
    <w:p>
      <w:pPr>
        <w:framePr w:w="4464" w:x="1277" w:y="11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主营业务分行业、分产品、分地区情况的说明</w:t>
      </w:r>
    </w:p>
    <w:p>
      <w:pPr>
        <w:framePr w:w="4464" w:x="1277" w:y="1193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496" w:x="1277" w:y="129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产销量情况分析表</w:t>
      </w:r>
    </w:p>
    <w:p>
      <w:pPr>
        <w:framePr w:w="1817" w:x="1277" w:y="134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344" w:x="6971" w:y="137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生产量比</w:t>
      </w:r>
      <w:r>
        <w:rPr>
          <w:rFonts w:eastAsiaTheme="minorEastAsia" w:hAnsiTheme="minorHAnsi" w:cstheme="minorBidi"/>
          <w:color w:val="000000"/>
          <w:spacing w:val="236"/>
          <w:sz w:val="21"/>
          <w:szCs w:val="22"/>
          <w:lang w:val="en-US" w:eastAsia="en-US" w:bidi="ar-SA"/>
        </w:rPr>
        <w:t xml:space="preserve"> </w:t>
      </w:r>
      <w:r>
        <w:rPr>
          <w:rFonts w:ascii="SimSun" w:hAnsi="SimSun" w:eastAsiaTheme="minorEastAsia" w:cs="SimSun"/>
          <w:color w:val="000000"/>
          <w:sz w:val="21"/>
          <w:szCs w:val="22"/>
          <w:lang w:val="en-US" w:eastAsia="en-US" w:bidi="ar-SA"/>
        </w:rPr>
        <w:t>销售量比</w:t>
      </w:r>
      <w:r>
        <w:rPr>
          <w:rFonts w:eastAsiaTheme="minorEastAsia" w:hAnsiTheme="minorHAnsi" w:cstheme="minorBidi"/>
          <w:color w:val="000000"/>
          <w:spacing w:val="237"/>
          <w:sz w:val="21"/>
          <w:szCs w:val="22"/>
          <w:lang w:val="en-US" w:eastAsia="en-US" w:bidi="ar-SA"/>
        </w:rPr>
        <w:t xml:space="preserve"> </w:t>
      </w:r>
      <w:r>
        <w:rPr>
          <w:rFonts w:ascii="SimSun" w:hAnsi="SimSun" w:eastAsiaTheme="minorEastAsia" w:cs="SimSun"/>
          <w:color w:val="000000"/>
          <w:sz w:val="21"/>
          <w:szCs w:val="22"/>
          <w:lang w:val="en-US" w:eastAsia="en-US" w:bidi="ar-SA"/>
        </w:rPr>
        <w:t>库存量比</w:t>
      </w:r>
    </w:p>
    <w:p>
      <w:pPr>
        <w:framePr w:w="3344" w:x="6971" w:y="1374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上年增减</w:t>
      </w:r>
      <w:r>
        <w:rPr>
          <w:rFonts w:eastAsiaTheme="minorEastAsia" w:hAnsiTheme="minorHAnsi" w:cstheme="minorBidi"/>
          <w:color w:val="000000"/>
          <w:spacing w:val="236"/>
          <w:sz w:val="21"/>
          <w:szCs w:val="22"/>
          <w:lang w:val="en-US" w:eastAsia="en-US" w:bidi="ar-SA"/>
        </w:rPr>
        <w:t xml:space="preserve"> </w:t>
      </w:r>
      <w:r>
        <w:rPr>
          <w:rFonts w:ascii="SimSun" w:hAnsi="SimSun" w:eastAsiaTheme="minorEastAsia" w:cs="SimSun"/>
          <w:color w:val="000000"/>
          <w:sz w:val="21"/>
          <w:szCs w:val="22"/>
          <w:lang w:val="en-US" w:eastAsia="en-US" w:bidi="ar-SA"/>
        </w:rPr>
        <w:t>上年增减</w:t>
      </w:r>
      <w:r>
        <w:rPr>
          <w:rFonts w:eastAsiaTheme="minorEastAsia" w:hAnsiTheme="minorHAnsi" w:cstheme="minorBidi"/>
          <w:color w:val="000000"/>
          <w:spacing w:val="237"/>
          <w:sz w:val="21"/>
          <w:szCs w:val="22"/>
          <w:lang w:val="en-US" w:eastAsia="en-US" w:bidi="ar-SA"/>
        </w:rPr>
        <w:t xml:space="preserve"> </w:t>
      </w:r>
      <w:r>
        <w:rPr>
          <w:rFonts w:ascii="SimSun" w:hAnsi="SimSun" w:eastAsiaTheme="minorEastAsia" w:cs="SimSun"/>
          <w:color w:val="000000"/>
          <w:sz w:val="21"/>
          <w:szCs w:val="22"/>
          <w:lang w:val="en-US" w:eastAsia="en-US" w:bidi="ar-SA"/>
        </w:rPr>
        <w:t>上年增减</w:t>
      </w:r>
    </w:p>
    <w:p>
      <w:pPr>
        <w:framePr w:w="1085" w:x="1313" w:y="1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主要产品</w:t>
      </w:r>
    </w:p>
    <w:p>
      <w:pPr>
        <w:framePr w:w="662" w:x="2655" w:y="1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p>
    <w:p>
      <w:pPr>
        <w:framePr w:w="874" w:x="3677" w:y="1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生产量</w:t>
      </w:r>
    </w:p>
    <w:p>
      <w:pPr>
        <w:framePr w:w="874" w:x="4808" w:y="1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销售量</w:t>
      </w:r>
    </w:p>
    <w:p>
      <w:pPr>
        <w:framePr w:w="874" w:x="5941" w:y="1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库存量</w:t>
      </w:r>
    </w:p>
    <w:p>
      <w:pPr>
        <w:framePr w:w="965" w:x="7127" w:y="14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965" w:x="7127" w:y="14288"/>
        <w:widowControl w:val="0"/>
        <w:autoSpaceDE w:val="0"/>
        <w:autoSpaceDN w:val="0"/>
        <w:spacing w:before="70" w:line="211" w:lineRule="exact"/>
        <w:ind w:left="19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18.29</w:t>
      </w:r>
    </w:p>
    <w:p>
      <w:pPr>
        <w:framePr w:w="965" w:x="7127" w:y="14288"/>
        <w:widowControl w:val="0"/>
        <w:autoSpaceDE w:val="0"/>
        <w:autoSpaceDN w:val="0"/>
        <w:spacing w:before="72" w:line="211" w:lineRule="exact"/>
        <w:ind w:left="19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38.50</w:t>
      </w:r>
    </w:p>
    <w:p>
      <w:pPr>
        <w:framePr w:w="965" w:x="8257" w:y="14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965" w:x="8257" w:y="14288"/>
        <w:widowControl w:val="0"/>
        <w:autoSpaceDE w:val="0"/>
        <w:autoSpaceDN w:val="0"/>
        <w:spacing w:before="70" w:line="211" w:lineRule="exact"/>
        <w:ind w:left="19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32.87</w:t>
      </w:r>
    </w:p>
    <w:p>
      <w:pPr>
        <w:framePr w:w="965" w:x="8257" w:y="14288"/>
        <w:widowControl w:val="0"/>
        <w:autoSpaceDE w:val="0"/>
        <w:autoSpaceDN w:val="0"/>
        <w:spacing w:before="72" w:line="211" w:lineRule="exact"/>
        <w:ind w:left="19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28.84</w:t>
      </w:r>
    </w:p>
    <w:p>
      <w:pPr>
        <w:framePr w:w="962" w:x="9391" w:y="14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962" w:x="9391" w:y="14288"/>
        <w:widowControl w:val="0"/>
        <w:autoSpaceDE w:val="0"/>
        <w:autoSpaceDN w:val="0"/>
        <w:spacing w:before="70" w:line="211" w:lineRule="exact"/>
        <w:ind w:left="8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-96.29</w:t>
      </w:r>
    </w:p>
    <w:p>
      <w:pPr>
        <w:framePr w:w="962" w:x="9391" w:y="14288"/>
        <w:widowControl w:val="0"/>
        <w:autoSpaceDE w:val="0"/>
        <w:autoSpaceDN w:val="0"/>
        <w:spacing w:before="72" w:line="211" w:lineRule="exact"/>
        <w:ind w:left="19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85.93</w:t>
      </w:r>
    </w:p>
    <w:p>
      <w:pPr>
        <w:framePr w:w="874" w:x="1419" w:y="145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除草剂</w:t>
      </w:r>
    </w:p>
    <w:p>
      <w:pPr>
        <w:framePr w:w="874" w:x="1419" w:y="145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杀菌剂</w:t>
      </w:r>
    </w:p>
    <w:p>
      <w:pPr>
        <w:framePr w:w="451" w:x="2758" w:y="145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吨</w:t>
      </w:r>
    </w:p>
    <w:p>
      <w:pPr>
        <w:framePr w:w="451" w:x="2758" w:y="145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吨</w:t>
      </w:r>
    </w:p>
    <w:p>
      <w:pPr>
        <w:framePr w:w="2216" w:x="3610" w:y="145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8,124.70</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9,032.45</w:t>
      </w:r>
    </w:p>
    <w:p>
      <w:pPr>
        <w:framePr w:w="2216" w:x="3610" w:y="145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1,301.41</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1,276.92</w:t>
      </w:r>
    </w:p>
    <w:p>
      <w:pPr>
        <w:framePr w:w="768" w:x="6191" w:y="145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34.98</w:t>
      </w:r>
    </w:p>
    <w:p>
      <w:pPr>
        <w:framePr w:w="768" w:x="6191" w:y="145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52.99</w:t>
      </w:r>
    </w:p>
    <w:p>
      <w:pPr>
        <w:framePr w:w="847" w:x="5389"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53" type="#_x0000_t75" style="width:445.6pt;height:2.7pt;margin-top:53.5pt;margin-left:61.4pt;mso-position-horizontal-relative:page;mso-position-vertical-relative:page;position:absolute;z-index:-251229184">
            <v:imagedata r:id="rId28" o:title=""/>
          </v:shape>
        </w:pict>
      </w:r>
      <w:r>
        <w:rPr>
          <w:noProof/>
        </w:rPr>
        <w:pict>
          <v:shape id="_x0000_s1054" type="#_x0000_t75" style="width:455pt;height:101.4pt;margin-top:70.1pt;margin-left:57.2pt;mso-position-horizontal-relative:page;mso-position-vertical-relative:page;position:absolute;z-index:-251315200">
            <v:imagedata r:id="rId29" o:title=""/>
          </v:shape>
        </w:pict>
      </w:r>
      <w:r>
        <w:rPr>
          <w:noProof/>
        </w:rPr>
        <w:pict>
          <v:shape id="_x0000_s1055" type="#_x0000_t75" style="width:541.3pt;height:281.85pt;margin-top:308.45pt;margin-left:34.3pt;mso-position-horizontal-relative:page;mso-position-vertical-relative:page;position:absolute;z-index:-251448320">
            <v:imagedata r:id="rId30" o:title=""/>
          </v:shape>
        </w:pict>
      </w:r>
      <w:r>
        <w:rPr>
          <w:noProof/>
        </w:rPr>
        <w:pict>
          <v:shape id="_x0000_s1056" type="#_x0000_t75" style="width:455pt;height:72.1pt;margin-top:684.2pt;margin-left:57.2pt;mso-position-horizontal-relative:page;mso-position-vertical-relative:page;position:absolute;z-index:-251645952">
            <v:imagedata r:id="rId31" o:title=""/>
          </v:shape>
        </w:pict>
      </w:r>
    </w:p>
    <w:p>
      <w:pPr>
        <w:spacing w:line="0" w:lineRule="atLeast"/>
        <w:rPr>
          <w:rFonts w:ascii="Arial" w:eastAsiaTheme="minorEastAsia" w:hAnsiTheme="minorHAnsi" w:cstheme="minorBidi"/>
          <w:color w:val="FF0000"/>
          <w:sz w:val="2"/>
          <w:szCs w:val="22"/>
          <w:lang w:val="en-US" w:eastAsia="en-US" w:bidi="ar-SA"/>
        </w:rPr>
      </w:pPr>
      <w:bookmarkStart w:id="13" w:name="br1_12"/>
      <w:bookmarkEnd w:id="13"/>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605" w:x="1277" w:y="17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产销量情况说明</w:t>
      </w:r>
    </w:p>
    <w:p>
      <w:pPr>
        <w:framePr w:w="3605" w:x="1277" w:y="1723"/>
        <w:widowControl w:val="0"/>
        <w:autoSpaceDE w:val="0"/>
        <w:autoSpaceDN w:val="0"/>
        <w:spacing w:before="18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上述除草剂按照原药口径统计。</w:t>
      </w:r>
    </w:p>
    <w:p>
      <w:pPr>
        <w:framePr w:w="1862" w:x="1277" w:y="26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成本分析表</w:t>
      </w:r>
    </w:p>
    <w:p>
      <w:pPr>
        <w:framePr w:w="2314" w:x="8039" w:y="2978"/>
        <w:widowControl w:val="0"/>
        <w:autoSpaceDE w:val="0"/>
        <w:autoSpaceDN w:val="0"/>
        <w:spacing w:line="211" w:lineRule="exact"/>
        <w:ind w:left="123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p>
    <w:p>
      <w:pPr>
        <w:framePr w:w="2314" w:x="8039" w:y="2978"/>
        <w:widowControl w:val="0"/>
        <w:autoSpaceDE w:val="0"/>
        <w:autoSpaceDN w:val="0"/>
        <w:spacing w:before="35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上年同</w:t>
      </w:r>
      <w:r>
        <w:rPr>
          <w:rFonts w:eastAsiaTheme="minorEastAsia" w:hAnsiTheme="minorHAnsi" w:cstheme="minorBidi"/>
          <w:color w:val="000000"/>
          <w:spacing w:val="224"/>
          <w:sz w:val="21"/>
          <w:szCs w:val="22"/>
          <w:lang w:val="en-US" w:eastAsia="en-US" w:bidi="ar-SA"/>
        </w:rPr>
        <w:t xml:space="preserve"> </w:t>
      </w:r>
      <w:r>
        <w:rPr>
          <w:rFonts w:ascii="SimSun" w:hAnsi="SimSun" w:eastAsiaTheme="minorEastAsia" w:cs="SimSun"/>
          <w:color w:val="000000"/>
          <w:sz w:val="21"/>
          <w:szCs w:val="22"/>
          <w:lang w:val="en-US" w:eastAsia="en-US" w:bidi="ar-SA"/>
        </w:rPr>
        <w:t>本期金额</w:t>
      </w:r>
    </w:p>
    <w:p>
      <w:pPr>
        <w:framePr w:w="1426" w:x="5226" w:y="3259"/>
        <w:widowControl w:val="0"/>
        <w:autoSpaceDE w:val="0"/>
        <w:autoSpaceDN w:val="0"/>
        <w:spacing w:line="211" w:lineRule="exact"/>
        <w:ind w:left="13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分行业情况</w:t>
      </w:r>
    </w:p>
    <w:p>
      <w:pPr>
        <w:framePr w:w="1426" w:x="5226" w:y="32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本期占</w:t>
      </w:r>
    </w:p>
    <w:p>
      <w:pPr>
        <w:framePr w:w="1085" w:x="2160" w:y="3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成本构成</w:t>
      </w:r>
    </w:p>
    <w:p>
      <w:pPr>
        <w:framePr w:w="874" w:x="5226" w:y="3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总成本</w:t>
      </w:r>
    </w:p>
    <w:p>
      <w:pPr>
        <w:framePr w:w="1993" w:x="8039" w:y="3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期占总</w:t>
      </w:r>
      <w:r>
        <w:rPr>
          <w:rFonts w:eastAsiaTheme="minorEastAsia" w:hAnsiTheme="minorHAnsi" w:cstheme="minorBidi"/>
          <w:color w:val="000000"/>
          <w:spacing w:val="224"/>
          <w:sz w:val="21"/>
          <w:szCs w:val="22"/>
          <w:lang w:val="en-US" w:eastAsia="en-US" w:bidi="ar-SA"/>
        </w:rPr>
        <w:t xml:space="preserve"> </w:t>
      </w:r>
      <w:r>
        <w:rPr>
          <w:rFonts w:ascii="SimSun" w:hAnsi="SimSun" w:eastAsiaTheme="minorEastAsia" w:cs="SimSun"/>
          <w:color w:val="000000"/>
          <w:sz w:val="21"/>
          <w:szCs w:val="22"/>
          <w:lang w:val="en-US" w:eastAsia="en-US" w:bidi="ar-SA"/>
        </w:rPr>
        <w:t>较上年同</w:t>
      </w:r>
    </w:p>
    <w:p>
      <w:pPr>
        <w:framePr w:w="1993" w:x="8039" w:y="381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成本比</w:t>
      </w:r>
      <w:r>
        <w:rPr>
          <w:rFonts w:eastAsiaTheme="minorEastAsia" w:hAnsiTheme="minorHAnsi" w:cstheme="minorBidi"/>
          <w:color w:val="000000"/>
          <w:spacing w:val="224"/>
          <w:sz w:val="21"/>
          <w:szCs w:val="22"/>
          <w:lang w:val="en-US" w:eastAsia="en-US" w:bidi="ar-SA"/>
        </w:rPr>
        <w:t xml:space="preserve"> </w:t>
      </w:r>
      <w:r>
        <w:rPr>
          <w:rFonts w:ascii="SimSun" w:hAnsi="SimSun" w:eastAsiaTheme="minorEastAsia" w:cs="SimSun"/>
          <w:color w:val="000000"/>
          <w:sz w:val="21"/>
          <w:szCs w:val="22"/>
          <w:lang w:val="en-US" w:eastAsia="en-US" w:bidi="ar-SA"/>
        </w:rPr>
        <w:t>期变动比</w:t>
      </w:r>
    </w:p>
    <w:p>
      <w:pPr>
        <w:framePr w:w="662" w:x="10216" w:y="3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情况</w:t>
      </w:r>
    </w:p>
    <w:p>
      <w:pPr>
        <w:framePr w:w="662" w:x="10216" w:y="381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说明</w:t>
      </w:r>
    </w:p>
    <w:p>
      <w:pPr>
        <w:framePr w:w="874" w:x="1102" w:y="39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分行业</w:t>
      </w:r>
    </w:p>
    <w:p>
      <w:pPr>
        <w:framePr w:w="1085" w:x="3708" w:y="39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本期金额</w:t>
      </w:r>
    </w:p>
    <w:p>
      <w:pPr>
        <w:framePr w:w="1507" w:x="6325" w:y="39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上年同期金额</w:t>
      </w:r>
    </w:p>
    <w:p>
      <w:pPr>
        <w:framePr w:w="662" w:x="2372" w:y="4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5331" w:y="4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557" w:x="5384" w:y="43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768" w:x="8092" w:y="43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例</w:t>
      </w:r>
      <w:r>
        <w:rPr>
          <w:rFonts w:ascii="SimSun" w:eastAsiaTheme="minorEastAsia" w:hAnsiTheme="minorHAnsi" w:cstheme="minorBidi"/>
          <w:color w:val="000000"/>
          <w:spacing w:val="1"/>
          <w:sz w:val="21"/>
          <w:szCs w:val="22"/>
          <w:lang w:val="en-US" w:eastAsia="en-US" w:bidi="ar-SA"/>
        </w:rPr>
        <w:t>(%)</w:t>
      </w:r>
    </w:p>
    <w:p>
      <w:pPr>
        <w:framePr w:w="965" w:x="9108" w:y="43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例</w:t>
      </w:r>
      <w:r>
        <w:rPr>
          <w:rFonts w:ascii="SimSun" w:eastAsiaTheme="minorEastAsia" w:hAnsiTheme="minorHAnsi" w:cstheme="minorBidi"/>
          <w:color w:val="000000"/>
          <w:spacing w:val="1"/>
          <w:sz w:val="21"/>
          <w:szCs w:val="22"/>
          <w:lang w:val="en-US" w:eastAsia="en-US" w:bidi="ar-SA"/>
        </w:rPr>
        <w:t>(%)</w:t>
      </w:r>
    </w:p>
    <w:p>
      <w:pPr>
        <w:framePr w:w="965" w:x="9108" w:y="4358"/>
        <w:widowControl w:val="0"/>
        <w:autoSpaceDE w:val="0"/>
        <w:autoSpaceDN w:val="0"/>
        <w:spacing w:before="72" w:line="211" w:lineRule="exact"/>
        <w:ind w:left="19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34.73</w:t>
      </w:r>
    </w:p>
    <w:p>
      <w:pPr>
        <w:framePr w:w="965" w:x="9108" w:y="4358"/>
        <w:widowControl w:val="0"/>
        <w:autoSpaceDE w:val="0"/>
        <w:autoSpaceDN w:val="0"/>
        <w:spacing w:before="72" w:line="211" w:lineRule="exact"/>
        <w:ind w:left="9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-12.28</w:t>
      </w:r>
    </w:p>
    <w:p>
      <w:pPr>
        <w:framePr w:w="1085" w:x="958"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w:t>
      </w:r>
    </w:p>
    <w:p>
      <w:pPr>
        <w:framePr w:w="1085" w:x="958" w:y="464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其他业务</w:t>
      </w:r>
    </w:p>
    <w:p>
      <w:pPr>
        <w:framePr w:w="1930" w:x="3288" w:y="46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1,357,901,589.48</w:t>
      </w:r>
    </w:p>
    <w:p>
      <w:pPr>
        <w:framePr w:w="1930" w:x="3288" w:y="4641"/>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10,387,794.48</w:t>
      </w:r>
    </w:p>
    <w:p>
      <w:pPr>
        <w:framePr w:w="3562" w:x="5375" w:y="46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99.24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1,007,900,117.42</w:t>
      </w:r>
      <w:r>
        <w:rPr>
          <w:rFonts w:ascii="SimSun" w:eastAsiaTheme="minorEastAsia" w:hAnsiTheme="minorHAnsi" w:cstheme="minorBidi"/>
          <w:color w:val="000000"/>
          <w:spacing w:val="26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98.84</w:t>
      </w:r>
    </w:p>
    <w:p>
      <w:pPr>
        <w:framePr w:w="662" w:x="5480" w:y="49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0.76</w:t>
      </w:r>
    </w:p>
    <w:p>
      <w:pPr>
        <w:framePr w:w="1613" w:x="6431" w:y="49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11,842,420.21</w:t>
      </w:r>
    </w:p>
    <w:p>
      <w:pPr>
        <w:framePr w:w="662" w:x="8274" w:y="49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1.16</w:t>
      </w:r>
    </w:p>
    <w:p>
      <w:pPr>
        <w:framePr w:w="1296" w:x="5358" w:y="52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分产品情况</w:t>
      </w:r>
    </w:p>
    <w:p>
      <w:pPr>
        <w:framePr w:w="1993" w:x="8039" w:y="54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上年同</w:t>
      </w:r>
      <w:r>
        <w:rPr>
          <w:rFonts w:eastAsiaTheme="minorEastAsia" w:hAnsiTheme="minorHAnsi" w:cstheme="minorBidi"/>
          <w:color w:val="000000"/>
          <w:spacing w:val="224"/>
          <w:sz w:val="21"/>
          <w:szCs w:val="22"/>
          <w:lang w:val="en-US" w:eastAsia="en-US" w:bidi="ar-SA"/>
        </w:rPr>
        <w:t xml:space="preserve"> </w:t>
      </w:r>
      <w:r>
        <w:rPr>
          <w:rFonts w:ascii="SimSun" w:hAnsi="SimSun" w:eastAsiaTheme="minorEastAsia" w:cs="SimSun"/>
          <w:color w:val="000000"/>
          <w:sz w:val="21"/>
          <w:szCs w:val="22"/>
          <w:lang w:val="en-US" w:eastAsia="en-US" w:bidi="ar-SA"/>
        </w:rPr>
        <w:t>本期金额</w:t>
      </w:r>
    </w:p>
    <w:p>
      <w:pPr>
        <w:framePr w:w="1993" w:x="8039" w:y="548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期占总</w:t>
      </w:r>
      <w:r>
        <w:rPr>
          <w:rFonts w:eastAsiaTheme="minorEastAsia" w:hAnsiTheme="minorHAnsi" w:cstheme="minorBidi"/>
          <w:color w:val="000000"/>
          <w:spacing w:val="224"/>
          <w:sz w:val="21"/>
          <w:szCs w:val="22"/>
          <w:lang w:val="en-US" w:eastAsia="en-US" w:bidi="ar-SA"/>
        </w:rPr>
        <w:t xml:space="preserve"> </w:t>
      </w:r>
      <w:r>
        <w:rPr>
          <w:rFonts w:ascii="SimSun" w:hAnsi="SimSun" w:eastAsiaTheme="minorEastAsia" w:cs="SimSun"/>
          <w:color w:val="000000"/>
          <w:sz w:val="21"/>
          <w:szCs w:val="22"/>
          <w:lang w:val="en-US" w:eastAsia="en-US" w:bidi="ar-SA"/>
        </w:rPr>
        <w:t>较上年同</w:t>
      </w:r>
    </w:p>
    <w:p>
      <w:pPr>
        <w:framePr w:w="1993" w:x="8039" w:y="548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成本比</w:t>
      </w:r>
      <w:r>
        <w:rPr>
          <w:rFonts w:eastAsiaTheme="minorEastAsia" w:hAnsiTheme="minorHAnsi" w:cstheme="minorBidi"/>
          <w:color w:val="000000"/>
          <w:spacing w:val="224"/>
          <w:sz w:val="21"/>
          <w:szCs w:val="22"/>
          <w:lang w:val="en-US" w:eastAsia="en-US" w:bidi="ar-SA"/>
        </w:rPr>
        <w:t xml:space="preserve"> </w:t>
      </w:r>
      <w:r>
        <w:rPr>
          <w:rFonts w:ascii="SimSun" w:hAnsi="SimSun" w:eastAsiaTheme="minorEastAsia" w:cs="SimSun"/>
          <w:color w:val="000000"/>
          <w:sz w:val="21"/>
          <w:szCs w:val="22"/>
          <w:lang w:val="en-US" w:eastAsia="en-US" w:bidi="ar-SA"/>
        </w:rPr>
        <w:t>期变动比</w:t>
      </w:r>
    </w:p>
    <w:p>
      <w:pPr>
        <w:framePr w:w="979" w:x="5219" w:y="5626"/>
        <w:widowControl w:val="0"/>
        <w:autoSpaceDE w:val="0"/>
        <w:autoSpaceDN w:val="0"/>
        <w:spacing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本期占</w:t>
      </w:r>
    </w:p>
    <w:p>
      <w:pPr>
        <w:framePr w:w="979" w:x="5219" w:y="5626"/>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总成本</w:t>
      </w:r>
    </w:p>
    <w:p>
      <w:pPr>
        <w:framePr w:w="979" w:x="5219" w:y="5626"/>
        <w:widowControl w:val="0"/>
        <w:autoSpaceDE w:val="0"/>
        <w:autoSpaceDN w:val="0"/>
        <w:spacing w:before="6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1085" w:x="2160" w:y="57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成本构成</w:t>
      </w:r>
    </w:p>
    <w:p>
      <w:pPr>
        <w:framePr w:w="1085" w:x="2160" w:y="5760"/>
        <w:widowControl w:val="0"/>
        <w:autoSpaceDE w:val="0"/>
        <w:autoSpaceDN w:val="0"/>
        <w:spacing w:before="6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10216" w:y="57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情况</w:t>
      </w:r>
    </w:p>
    <w:p>
      <w:pPr>
        <w:framePr w:w="662" w:x="10216" w:y="576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说明</w:t>
      </w:r>
    </w:p>
    <w:p>
      <w:pPr>
        <w:framePr w:w="874" w:x="1102" w:y="58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分产品</w:t>
      </w:r>
    </w:p>
    <w:p>
      <w:pPr>
        <w:framePr w:w="1085" w:x="3708" w:y="58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本期金额</w:t>
      </w:r>
    </w:p>
    <w:p>
      <w:pPr>
        <w:framePr w:w="1507" w:x="6371" w:y="58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上年同期金额</w:t>
      </w:r>
    </w:p>
    <w:p>
      <w:pPr>
        <w:framePr w:w="768" w:x="8092" w:y="63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例</w:t>
      </w:r>
      <w:r>
        <w:rPr>
          <w:rFonts w:ascii="SimSun" w:eastAsiaTheme="minorEastAsia" w:hAnsiTheme="minorHAnsi" w:cstheme="minorBidi"/>
          <w:color w:val="000000"/>
          <w:spacing w:val="1"/>
          <w:sz w:val="21"/>
          <w:szCs w:val="22"/>
          <w:lang w:val="en-US" w:eastAsia="en-US" w:bidi="ar-SA"/>
        </w:rPr>
        <w:t>(%)</w:t>
      </w:r>
    </w:p>
    <w:p>
      <w:pPr>
        <w:framePr w:w="965" w:x="9108" w:y="63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例</w:t>
      </w:r>
      <w:r>
        <w:rPr>
          <w:rFonts w:ascii="SimSun" w:eastAsiaTheme="minorEastAsia" w:hAnsiTheme="minorHAnsi" w:cstheme="minorBidi"/>
          <w:color w:val="000000"/>
          <w:spacing w:val="1"/>
          <w:sz w:val="21"/>
          <w:szCs w:val="22"/>
          <w:lang w:val="en-US" w:eastAsia="en-US" w:bidi="ar-SA"/>
        </w:rPr>
        <w:t>(%)</w:t>
      </w:r>
    </w:p>
    <w:p>
      <w:pPr>
        <w:framePr w:w="965" w:x="9108" w:y="6305"/>
        <w:widowControl w:val="0"/>
        <w:autoSpaceDE w:val="0"/>
        <w:autoSpaceDN w:val="0"/>
        <w:spacing w:before="72" w:line="211" w:lineRule="exact"/>
        <w:ind w:left="19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43.23</w:t>
      </w:r>
    </w:p>
    <w:p>
      <w:pPr>
        <w:framePr w:w="874" w:x="958" w:y="6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除草剂</w:t>
      </w:r>
    </w:p>
    <w:p>
      <w:pPr>
        <w:framePr w:w="874" w:x="958" w:y="6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除草剂</w:t>
      </w:r>
    </w:p>
    <w:p>
      <w:pPr>
        <w:framePr w:w="874" w:x="958" w:y="65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除草剂</w:t>
      </w:r>
    </w:p>
    <w:p>
      <w:pPr>
        <w:framePr w:w="874" w:x="958" w:y="6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杀菌剂</w:t>
      </w:r>
    </w:p>
    <w:p>
      <w:pPr>
        <w:framePr w:w="874" w:x="958" w:y="6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杀菌剂</w:t>
      </w:r>
    </w:p>
    <w:p>
      <w:pPr>
        <w:framePr w:w="874" w:x="958" w:y="65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杀菌剂</w:t>
      </w:r>
    </w:p>
    <w:p>
      <w:pPr>
        <w:framePr w:w="874" w:x="958" w:y="6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中间体</w:t>
      </w:r>
    </w:p>
    <w:p>
      <w:pPr>
        <w:framePr w:w="874" w:x="958" w:y="6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中间体</w:t>
      </w:r>
    </w:p>
    <w:p>
      <w:pPr>
        <w:framePr w:w="874" w:x="958" w:y="65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中间体</w:t>
      </w:r>
    </w:p>
    <w:p>
      <w:pPr>
        <w:framePr w:w="874" w:x="2093" w:y="6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原材料</w:t>
      </w:r>
    </w:p>
    <w:p>
      <w:pPr>
        <w:framePr w:w="874" w:x="2093" w:y="6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人工</w:t>
      </w:r>
    </w:p>
    <w:p>
      <w:pPr>
        <w:framePr w:w="1930" w:x="3288" w:y="65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1,080,986,644.58</w:t>
      </w:r>
    </w:p>
    <w:p>
      <w:pPr>
        <w:framePr w:w="1930" w:x="3288" w:y="6588"/>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42,155,689.03</w:t>
      </w:r>
    </w:p>
    <w:p>
      <w:pPr>
        <w:framePr w:w="1930" w:x="3288" w:y="6588"/>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120,388,316.21</w:t>
      </w:r>
    </w:p>
    <w:p>
      <w:pPr>
        <w:framePr w:w="1930" w:x="3288" w:y="6588"/>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62,001,711.83</w:t>
      </w:r>
    </w:p>
    <w:p>
      <w:pPr>
        <w:framePr w:w="1930" w:x="3288" w:y="6588"/>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5,851,975.37</w:t>
      </w:r>
    </w:p>
    <w:p>
      <w:pPr>
        <w:framePr w:w="1930" w:x="3288" w:y="6588"/>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16,380,332.32</w:t>
      </w:r>
    </w:p>
    <w:p>
      <w:pPr>
        <w:framePr w:w="1930" w:x="3288" w:y="6588"/>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25,180,424.51</w:t>
      </w:r>
    </w:p>
    <w:p>
      <w:pPr>
        <w:framePr w:w="1930" w:x="3288" w:y="6588"/>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1,161,056.58</w:t>
      </w:r>
    </w:p>
    <w:p>
      <w:pPr>
        <w:framePr w:w="1930" w:x="3288" w:y="6588"/>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3,795,439.05</w:t>
      </w:r>
    </w:p>
    <w:p>
      <w:pPr>
        <w:framePr w:w="3473" w:x="5463" w:y="65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86.93</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754,695,411.86</w:t>
      </w:r>
      <w:r>
        <w:rPr>
          <w:rFonts w:ascii="SimSun" w:eastAsiaTheme="minorEastAsia" w:hAnsiTheme="minorHAnsi" w:cstheme="minorBidi"/>
          <w:color w:val="000000"/>
          <w:spacing w:val="26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83.79</w:t>
      </w:r>
    </w:p>
    <w:p>
      <w:pPr>
        <w:framePr w:w="3473" w:x="5463" w:y="658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3.39</w:t>
      </w:r>
      <w:r>
        <w:rPr>
          <w:rFonts w:ascii="SimSun" w:eastAsiaTheme="minorEastAsia" w:hAnsiTheme="minorHAnsi" w:cstheme="minorBidi"/>
          <w:color w:val="000000"/>
          <w:spacing w:val="33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38,166,322.30</w:t>
      </w:r>
      <w:r>
        <w:rPr>
          <w:rFonts w:ascii="SimSun" w:eastAsiaTheme="minorEastAsia" w:hAnsiTheme="minorHAnsi" w:cstheme="minorBidi"/>
          <w:color w:val="000000"/>
          <w:spacing w:val="37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4.24</w:t>
      </w:r>
    </w:p>
    <w:p>
      <w:pPr>
        <w:framePr w:w="3473" w:x="5463" w:y="6588"/>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9.68</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107,828,204.56</w:t>
      </w:r>
      <w:r>
        <w:rPr>
          <w:rFonts w:ascii="SimSun" w:eastAsiaTheme="minorEastAsia" w:hAnsiTheme="minorHAnsi" w:cstheme="minorBidi"/>
          <w:color w:val="000000"/>
          <w:spacing w:val="26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11.97</w:t>
      </w:r>
    </w:p>
    <w:p>
      <w:pPr>
        <w:framePr w:w="874" w:x="9199" w:y="6871"/>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10.45</w:t>
      </w:r>
    </w:p>
    <w:p>
      <w:pPr>
        <w:framePr w:w="874" w:x="9199" w:y="687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11.65</w:t>
      </w:r>
    </w:p>
    <w:p>
      <w:pPr>
        <w:framePr w:w="874" w:x="9199" w:y="687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39.26</w:t>
      </w:r>
    </w:p>
    <w:p>
      <w:pPr>
        <w:framePr w:w="874" w:x="9199" w:y="687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127.75</w:t>
      </w:r>
    </w:p>
    <w:p>
      <w:pPr>
        <w:framePr w:w="874" w:x="9199" w:y="687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64.71</w:t>
      </w:r>
    </w:p>
    <w:p>
      <w:pPr>
        <w:framePr w:w="874" w:x="9199" w:y="687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-42.87</w:t>
      </w:r>
    </w:p>
    <w:p>
      <w:pPr>
        <w:framePr w:w="874" w:x="9199" w:y="687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-56.37</w:t>
      </w:r>
    </w:p>
    <w:p>
      <w:pPr>
        <w:framePr w:w="874" w:x="9199" w:y="687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10.31</w:t>
      </w:r>
    </w:p>
    <w:p>
      <w:pPr>
        <w:framePr w:w="1085" w:x="2093" w:y="71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制造费用</w:t>
      </w:r>
    </w:p>
    <w:p>
      <w:pPr>
        <w:framePr w:w="1085" w:x="2093" w:y="715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原材料</w:t>
      </w:r>
    </w:p>
    <w:p>
      <w:pPr>
        <w:framePr w:w="1085" w:x="2093" w:y="715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人工</w:t>
      </w:r>
    </w:p>
    <w:p>
      <w:pPr>
        <w:framePr w:w="768" w:x="5463" w:y="74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73.61</w:t>
      </w:r>
    </w:p>
    <w:p>
      <w:pPr>
        <w:framePr w:w="768" w:x="5463" w:y="743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6.95</w:t>
      </w:r>
    </w:p>
    <w:p>
      <w:pPr>
        <w:framePr w:w="2506" w:x="6431" w:y="74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44,520,779.75</w:t>
      </w:r>
      <w:r>
        <w:rPr>
          <w:rFonts w:ascii="SimSun" w:eastAsiaTheme="minorEastAsia" w:hAnsiTheme="minorHAnsi" w:cstheme="minorBidi"/>
          <w:color w:val="000000"/>
          <w:spacing w:val="26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78.06</w:t>
      </w:r>
    </w:p>
    <w:p>
      <w:pPr>
        <w:framePr w:w="2506" w:x="6431" w:y="743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2,569,432.64</w:t>
      </w:r>
      <w:r>
        <w:rPr>
          <w:rFonts w:ascii="SimSun" w:eastAsiaTheme="minorEastAsia" w:hAnsiTheme="minorHAnsi" w:cstheme="minorBidi"/>
          <w:color w:val="000000"/>
          <w:spacing w:val="37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4.50</w:t>
      </w:r>
    </w:p>
    <w:p>
      <w:pPr>
        <w:framePr w:w="1085" w:x="2093" w:y="79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制造费用</w:t>
      </w:r>
    </w:p>
    <w:p>
      <w:pPr>
        <w:framePr w:w="1085" w:x="2093" w:y="799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原材料</w:t>
      </w:r>
    </w:p>
    <w:p>
      <w:pPr>
        <w:framePr w:w="1085" w:x="2093" w:y="799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人工</w:t>
      </w:r>
    </w:p>
    <w:p>
      <w:pPr>
        <w:framePr w:w="768" w:x="5463" w:y="79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19.45</w:t>
      </w:r>
    </w:p>
    <w:p>
      <w:pPr>
        <w:framePr w:w="768" w:x="5463" w:y="799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83.55</w:t>
      </w:r>
    </w:p>
    <w:p>
      <w:pPr>
        <w:framePr w:w="768" w:x="5463" w:y="799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3.85</w:t>
      </w:r>
    </w:p>
    <w:p>
      <w:pPr>
        <w:framePr w:w="2506" w:x="6431" w:y="799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9,945,071.18</w:t>
      </w:r>
      <w:r>
        <w:rPr>
          <w:rFonts w:ascii="SimSun" w:eastAsiaTheme="minorEastAsia" w:hAnsiTheme="minorHAnsi" w:cstheme="minorBidi"/>
          <w:color w:val="000000"/>
          <w:spacing w:val="26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17.44</w:t>
      </w:r>
    </w:p>
    <w:p>
      <w:pPr>
        <w:framePr w:w="2506" w:x="6431" w:y="799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44,072,937.33</w:t>
      </w:r>
      <w:r>
        <w:rPr>
          <w:rFonts w:ascii="SimSun" w:eastAsiaTheme="minorEastAsia" w:hAnsiTheme="minorHAnsi" w:cstheme="minorBidi"/>
          <w:color w:val="000000"/>
          <w:spacing w:val="26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87.84</w:t>
      </w:r>
    </w:p>
    <w:p>
      <w:pPr>
        <w:framePr w:w="1507" w:x="6537" w:y="85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2,661,143.42</w:t>
      </w:r>
    </w:p>
    <w:p>
      <w:pPr>
        <w:framePr w:w="1507" w:x="6537" w:y="856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3,440,814.38</w:t>
      </w:r>
    </w:p>
    <w:p>
      <w:pPr>
        <w:framePr w:w="662" w:x="8274" w:y="85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5.30</w:t>
      </w:r>
    </w:p>
    <w:p>
      <w:pPr>
        <w:framePr w:w="662" w:x="8274" w:y="856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6.86</w:t>
      </w:r>
    </w:p>
    <w:p>
      <w:pPr>
        <w:framePr w:w="1085" w:x="2093" w:y="88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制造费用</w:t>
      </w:r>
    </w:p>
    <w:p>
      <w:pPr>
        <w:framePr w:w="768" w:x="5463" w:y="88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12.59</w:t>
      </w:r>
    </w:p>
    <w:p>
      <w:pPr>
        <w:framePr w:w="2352" w:x="1277" w:y="91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成本分析其他情况说明</w:t>
      </w:r>
    </w:p>
    <w:p>
      <w:pPr>
        <w:framePr w:w="2352" w:x="1277" w:y="913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759" w:x="1277" w:y="10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主要销售客户及主要供应商情况</w:t>
      </w:r>
    </w:p>
    <w:p>
      <w:pPr>
        <w:framePr w:w="1817" w:x="1277" w:y="104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6" w:x="1277" w:y="109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前五名客户销售额</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42,903.60</w:t>
      </w:r>
      <w:r>
        <w:rPr>
          <w:rFonts w:ascii="SimSun" w:hAnsi="SimSun" w:eastAsiaTheme="minorEastAsia" w:cs="SimSun"/>
          <w:color w:val="000000"/>
          <w:spacing w:val="-3"/>
          <w:sz w:val="21"/>
          <w:szCs w:val="22"/>
          <w:lang w:val="en-US" w:eastAsia="en-US" w:bidi="ar-SA"/>
        </w:rPr>
        <w:t>万元，占年度销售总额</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22.63%</w:t>
      </w:r>
      <w:r>
        <w:rPr>
          <w:rFonts w:ascii="SimSun" w:hAnsi="SimSun" w:eastAsiaTheme="minorEastAsia" w:cs="SimSun"/>
          <w:color w:val="000000"/>
          <w:spacing w:val="-1"/>
          <w:sz w:val="21"/>
          <w:szCs w:val="22"/>
          <w:lang w:val="en-US" w:eastAsia="en-US" w:bidi="ar-SA"/>
        </w:rPr>
        <w:t>；其中前五名客户销售额中关联方销</w:t>
      </w:r>
    </w:p>
    <w:p>
      <w:pPr>
        <w:framePr w:w="9076" w:x="1277" w:y="109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售额</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hAnsi="SimSun" w:eastAsiaTheme="minorEastAsia" w:cs="SimSun"/>
          <w:color w:val="000000"/>
          <w:sz w:val="21"/>
          <w:szCs w:val="22"/>
          <w:lang w:val="en-US" w:eastAsia="en-US" w:bidi="ar-SA"/>
        </w:rPr>
        <w:t>万元，占年度销售总额</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9009" w:x="1277" w:y="11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前五名供应商采购额</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128,838.51</w:t>
      </w:r>
      <w:r>
        <w:rPr>
          <w:rFonts w:ascii="SimSun" w:hAnsi="SimSun" w:eastAsiaTheme="minorEastAsia" w:cs="SimSun"/>
          <w:color w:val="000000"/>
          <w:sz w:val="21"/>
          <w:szCs w:val="22"/>
          <w:lang w:val="en-US" w:eastAsia="en-US" w:bidi="ar-SA"/>
        </w:rPr>
        <w:t>万元，占年度采购总额</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29.38%</w:t>
      </w:r>
      <w:r>
        <w:rPr>
          <w:rFonts w:ascii="SimSun" w:hAnsi="SimSun" w:eastAsiaTheme="minorEastAsia" w:cs="SimSun"/>
          <w:color w:val="000000"/>
          <w:sz w:val="21"/>
          <w:szCs w:val="22"/>
          <w:lang w:val="en-US" w:eastAsia="en-US" w:bidi="ar-SA"/>
        </w:rPr>
        <w:t>；其中前五名供应商采购额中关</w:t>
      </w:r>
    </w:p>
    <w:p>
      <w:pPr>
        <w:framePr w:w="9009" w:x="1277" w:y="11864"/>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联方采购额</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hAnsi="SimSun" w:eastAsiaTheme="minorEastAsia" w:cs="SimSun"/>
          <w:color w:val="000000"/>
          <w:sz w:val="21"/>
          <w:szCs w:val="22"/>
          <w:lang w:val="en-US" w:eastAsia="en-US" w:bidi="ar-SA"/>
        </w:rPr>
        <w:t>万元，占年度采购总额</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hAnsi="SimSun" w:eastAsiaTheme="minorEastAsia" w:cs="SimSun"/>
          <w:color w:val="000000"/>
          <w:sz w:val="21"/>
          <w:szCs w:val="22"/>
          <w:lang w:val="en-US" w:eastAsia="en-US" w:bidi="ar-SA"/>
        </w:rPr>
        <w:t>。</w:t>
      </w:r>
    </w:p>
    <w:p>
      <w:pPr>
        <w:framePr w:w="1085" w:x="1277" w:y="128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085" w:x="1277" w:y="1280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082" w:x="1277" w:y="138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费用</w:t>
      </w:r>
    </w:p>
    <w:p>
      <w:pPr>
        <w:framePr w:w="1817" w:x="1277" w:y="141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277" w:y="147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36" w:x="3084" w:y="147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年度</w:t>
      </w:r>
    </w:p>
    <w:p>
      <w:pPr>
        <w:framePr w:w="1836" w:x="3084" w:y="14747"/>
        <w:widowControl w:val="0"/>
        <w:autoSpaceDE w:val="0"/>
        <w:autoSpaceDN w:val="0"/>
        <w:spacing w:before="70" w:line="211" w:lineRule="exact"/>
        <w:ind w:left="22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35,025,076.41</w:t>
      </w:r>
    </w:p>
    <w:p>
      <w:pPr>
        <w:framePr w:w="1836" w:x="4897" w:y="147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1"/>
          <w:sz w:val="21"/>
          <w:szCs w:val="22"/>
          <w:lang w:val="en-US" w:eastAsia="en-US" w:bidi="ar-SA"/>
        </w:rPr>
        <w:t>年度</w:t>
      </w:r>
    </w:p>
    <w:p>
      <w:pPr>
        <w:framePr w:w="1836" w:x="4897" w:y="14747"/>
        <w:widowControl w:val="0"/>
        <w:autoSpaceDE w:val="0"/>
        <w:autoSpaceDN w:val="0"/>
        <w:spacing w:before="70" w:line="211" w:lineRule="exact"/>
        <w:ind w:left="22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49,224,586.27</w:t>
      </w:r>
    </w:p>
    <w:p>
      <w:pPr>
        <w:framePr w:w="1613" w:x="6707" w:y="147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增减变动（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085" w:x="8517" w:y="147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变动原因</w:t>
      </w:r>
    </w:p>
    <w:p>
      <w:pPr>
        <w:framePr w:w="1085" w:x="1277" w:y="150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销售费用</w:t>
      </w:r>
    </w:p>
    <w:p>
      <w:pPr>
        <w:framePr w:w="1457" w:x="7669" w:y="150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-28.85</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847" w:x="5389"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57" type="#_x0000_t75" style="width:445.6pt;height:2.7pt;margin-top:53.5pt;margin-left:61.4pt;mso-position-horizontal-relative:page;mso-position-vertical-relative:page;position:absolute;z-index:-251314176">
            <v:imagedata r:id="rId32" o:title=""/>
          </v:shape>
        </w:pict>
      </w:r>
      <w:r>
        <w:rPr>
          <w:noProof/>
        </w:rPr>
        <w:pict>
          <v:shape id="_x0000_s1058" type="#_x0000_t75" style="width:506pt;height:296.05pt;margin-top:160pt;margin-left:41.25pt;mso-position-horizontal-relative:page;mso-position-vertical-relative:page;position:absolute;z-index:-251447296">
            <v:imagedata r:id="rId33" o:title=""/>
          </v:shape>
        </w:pict>
      </w:r>
      <w:r>
        <w:rPr>
          <w:noProof/>
        </w:rPr>
        <w:pict>
          <v:shape id="_x0000_s1059" type="#_x0000_t75" style="width:455pt;height:30.7pt;margin-top:734.4pt;margin-left:57.2pt;mso-position-horizontal-relative:page;mso-position-vertical-relative:page;position:absolute;z-index:-251644928">
            <v:imagedata r:id="rId34" o:title=""/>
          </v:shape>
        </w:pict>
      </w:r>
    </w:p>
    <w:p>
      <w:pPr>
        <w:spacing w:line="0" w:lineRule="atLeast"/>
        <w:rPr>
          <w:rFonts w:ascii="Arial" w:eastAsiaTheme="minorEastAsia" w:hAnsiTheme="minorHAnsi" w:cstheme="minorBidi"/>
          <w:color w:val="FF0000"/>
          <w:sz w:val="2"/>
          <w:szCs w:val="22"/>
          <w:lang w:val="en-US" w:eastAsia="en-US" w:bidi="ar-SA"/>
        </w:rPr>
      </w:pPr>
      <w:bookmarkStart w:id="14" w:name="br1_13"/>
      <w:bookmarkEnd w:id="14"/>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1277" w:y="1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管理费用</w:t>
      </w:r>
    </w:p>
    <w:p>
      <w:pPr>
        <w:framePr w:w="1085" w:x="1277" w:y="14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研发费用</w:t>
      </w:r>
    </w:p>
    <w:p>
      <w:pPr>
        <w:framePr w:w="1085" w:x="1277" w:y="146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w:t>
      </w:r>
    </w:p>
    <w:p>
      <w:pPr>
        <w:framePr w:w="3526" w:x="3207"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165,984,000.89</w:t>
      </w:r>
      <w:r>
        <w:rPr>
          <w:rFonts w:ascii="SimSun" w:eastAsiaTheme="minorEastAsia" w:hAnsiTheme="minorHAnsi" w:cstheme="minorBidi"/>
          <w:color w:val="000000"/>
          <w:spacing w:val="23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166,895,630.55</w:t>
      </w:r>
    </w:p>
    <w:p>
      <w:pPr>
        <w:framePr w:w="768" w:x="7775"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-0.55</w:t>
      </w:r>
    </w:p>
    <w:p>
      <w:pPr>
        <w:framePr w:w="1613" w:x="3312" w:y="17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95,964,000.61</w:t>
      </w:r>
    </w:p>
    <w:p>
      <w:pPr>
        <w:framePr w:w="1613" w:x="3312" w:y="174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21,365,791.94</w:t>
      </w:r>
    </w:p>
    <w:p>
      <w:pPr>
        <w:framePr w:w="1613" w:x="5125" w:y="17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82,408,984.06</w:t>
      </w:r>
    </w:p>
    <w:p>
      <w:pPr>
        <w:framePr w:w="1613" w:x="5125" w:y="174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-5,509,352.08</w:t>
      </w:r>
    </w:p>
    <w:p>
      <w:pPr>
        <w:framePr w:w="1457" w:x="7669" w:y="174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16.45</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w:t>
      </w:r>
    </w:p>
    <w:p>
      <w:pPr>
        <w:framePr w:w="1457" w:x="7669" w:y="174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487.81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w:t>
      </w:r>
    </w:p>
    <w:p>
      <w:pPr>
        <w:framePr w:w="6493" w:x="1277" w:y="24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：主要系根据新收入准则要求将运费调整至营业成本核算所致。</w:t>
      </w:r>
    </w:p>
    <w:p>
      <w:pPr>
        <w:framePr w:w="6493" w:x="1277" w:y="242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：主要系报告期内加大研发投入所致。</w:t>
      </w:r>
    </w:p>
    <w:p>
      <w:pPr>
        <w:framePr w:w="5022" w:x="1277" w:y="34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：主要系报告期内汇率变动导致汇兑损失所致。</w:t>
      </w:r>
    </w:p>
    <w:p>
      <w:pPr>
        <w:framePr w:w="1505" w:x="1277" w:y="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研发投入</w:t>
      </w:r>
    </w:p>
    <w:p>
      <w:pPr>
        <w:framePr w:w="2246" w:x="1277" w:y="43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研发投入情况表</w:t>
      </w:r>
    </w:p>
    <w:p>
      <w:pPr>
        <w:framePr w:w="2246" w:x="1277" w:y="4346"/>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9271" w:y="49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p>
    <w:p>
      <w:pPr>
        <w:framePr w:w="2141" w:x="1277" w:y="52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本期费用化研发投入</w:t>
      </w:r>
    </w:p>
    <w:p>
      <w:pPr>
        <w:framePr w:w="1613" w:x="8745" w:y="52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95,964,000.61</w:t>
      </w:r>
    </w:p>
    <w:p>
      <w:pPr>
        <w:framePr w:w="1613" w:x="8745" w:y="5235"/>
        <w:widowControl w:val="0"/>
        <w:autoSpaceDE w:val="0"/>
        <w:autoSpaceDN w:val="0"/>
        <w:spacing w:before="70" w:line="211" w:lineRule="exact"/>
        <w:ind w:left="94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2141" w:x="1277" w:y="55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本期资本化研发投入</w:t>
      </w:r>
    </w:p>
    <w:p>
      <w:pPr>
        <w:framePr w:w="1507" w:x="1277" w:y="5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研发投入合计</w:t>
      </w:r>
    </w:p>
    <w:p>
      <w:pPr>
        <w:framePr w:w="1613" w:x="8745" w:y="57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95,964,000.61</w:t>
      </w:r>
    </w:p>
    <w:p>
      <w:pPr>
        <w:framePr w:w="1613" w:x="8745" w:y="5799"/>
        <w:widowControl w:val="0"/>
        <w:autoSpaceDE w:val="0"/>
        <w:autoSpaceDN w:val="0"/>
        <w:spacing w:before="72" w:line="211" w:lineRule="exact"/>
        <w:ind w:left="94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5.06</w:t>
      </w:r>
    </w:p>
    <w:p>
      <w:pPr>
        <w:framePr w:w="3514" w:x="1277" w:y="60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研发投入总额占营业收入比例（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3514" w:x="1277" w:y="608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公司研发人员的数量</w:t>
      </w:r>
    </w:p>
    <w:p>
      <w:pPr>
        <w:framePr w:w="557" w:x="9796" w:y="63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149</w:t>
      </w:r>
    </w:p>
    <w:p>
      <w:pPr>
        <w:framePr w:w="3936" w:x="1277" w:y="66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研发人员数量占公司总人数的比例（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3936" w:x="1277" w:y="664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研发投入资本化的比重（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662" w:x="9691" w:y="66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9.76</w:t>
      </w:r>
    </w:p>
    <w:p>
      <w:pPr>
        <w:framePr w:w="662" w:x="9691" w:y="69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1817" w:x="1277" w:y="73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情况说明</w:t>
      </w:r>
    </w:p>
    <w:p>
      <w:pPr>
        <w:framePr w:w="1817" w:x="1277" w:y="7330"/>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277" w:y="733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现金流</w:t>
      </w:r>
    </w:p>
    <w:p>
      <w:pPr>
        <w:framePr w:w="1817" w:x="1277" w:y="89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277" w:y="94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436" w:x="4503" w:y="94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年度</w:t>
      </w:r>
    </w:p>
    <w:p>
      <w:pPr>
        <w:framePr w:w="2436" w:x="4503" w:y="9471"/>
        <w:widowControl w:val="0"/>
        <w:autoSpaceDE w:val="0"/>
        <w:autoSpaceDN w:val="0"/>
        <w:spacing w:before="72" w:line="211" w:lineRule="exact"/>
        <w:ind w:left="72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361,385,546.72</w:t>
      </w:r>
    </w:p>
    <w:p>
      <w:pPr>
        <w:framePr w:w="2011" w:x="6913" w:y="94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1"/>
          <w:sz w:val="21"/>
          <w:szCs w:val="22"/>
          <w:lang w:val="en-US" w:eastAsia="en-US" w:bidi="ar-SA"/>
        </w:rPr>
        <w:t>年度</w:t>
      </w:r>
    </w:p>
    <w:p>
      <w:pPr>
        <w:framePr w:w="2011" w:x="6913" w:y="9471"/>
        <w:widowControl w:val="0"/>
        <w:autoSpaceDE w:val="0"/>
        <w:autoSpaceDN w:val="0"/>
        <w:spacing w:before="72" w:line="211" w:lineRule="exact"/>
        <w:ind w:left="29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399,562,923.76</w:t>
      </w:r>
    </w:p>
    <w:p>
      <w:pPr>
        <w:framePr w:w="1613" w:x="8899" w:y="94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同比增减（</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613" w:x="8899" w:y="9471"/>
        <w:widowControl w:val="0"/>
        <w:autoSpaceDE w:val="0"/>
        <w:autoSpaceDN w:val="0"/>
        <w:spacing w:before="72" w:line="211" w:lineRule="exact"/>
        <w:ind w:left="68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-9.55</w:t>
      </w:r>
    </w:p>
    <w:p>
      <w:pPr>
        <w:framePr w:w="2986" w:x="1277" w:y="97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2986" w:x="1277" w:y="97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投资活动产生的现金流量净额</w:t>
      </w:r>
    </w:p>
    <w:p>
      <w:pPr>
        <w:framePr w:w="2986" w:x="1277" w:y="975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筹资活动产生的现金流量净额</w:t>
      </w:r>
    </w:p>
    <w:p>
      <w:pPr>
        <w:framePr w:w="1824" w:x="5123" w:y="100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-134,157,098.63</w:t>
      </w:r>
    </w:p>
    <w:p>
      <w:pPr>
        <w:framePr w:w="1824" w:x="5123" w:y="1003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-235,633,167.14</w:t>
      </w:r>
    </w:p>
    <w:p>
      <w:pPr>
        <w:framePr w:w="1824" w:x="7108" w:y="100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-363,016,464.84</w:t>
      </w:r>
    </w:p>
    <w:p>
      <w:pPr>
        <w:framePr w:w="1824" w:x="7108" w:y="10035"/>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77,600,806.23</w:t>
      </w:r>
    </w:p>
    <w:p>
      <w:pPr>
        <w:framePr w:w="768" w:x="9585" w:y="100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63.04</w:t>
      </w:r>
    </w:p>
    <w:p>
      <w:pPr>
        <w:framePr w:w="979" w:x="9376" w:y="103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-403.65</w:t>
      </w:r>
    </w:p>
    <w:p>
      <w:pPr>
        <w:framePr w:w="662" w:x="1277" w:y="109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z w:val="21"/>
          <w:szCs w:val="22"/>
          <w:lang w:val="en-US" w:eastAsia="en-US" w:bidi="ar-SA"/>
        </w:rPr>
        <w:t>)</w:t>
      </w:r>
    </w:p>
    <w:p>
      <w:pPr>
        <w:framePr w:w="3619" w:x="2117" w:y="109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非主营业务导致利润重大变化的说明</w:t>
      </w:r>
    </w:p>
    <w:p>
      <w:pPr>
        <w:framePr w:w="1817" w:x="1277" w:y="115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277" w:y="120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三</w:t>
      </w:r>
      <w:r>
        <w:rPr>
          <w:rFonts w:ascii="SimSun" w:eastAsiaTheme="minorEastAsia" w:hAnsiTheme="minorHAnsi" w:cstheme="minorBidi"/>
          <w:color w:val="000000"/>
          <w:sz w:val="21"/>
          <w:szCs w:val="22"/>
          <w:lang w:val="en-US" w:eastAsia="en-US" w:bidi="ar-SA"/>
        </w:rPr>
        <w:t>)</w:t>
      </w:r>
    </w:p>
    <w:p>
      <w:pPr>
        <w:framePr w:w="2141" w:x="2117" w:y="120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资产、负债情况分析</w:t>
      </w:r>
    </w:p>
    <w:p>
      <w:pPr>
        <w:framePr w:w="2143" w:x="1277" w:y="12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3" w:x="1277" w:y="1258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资产及负债状况</w:t>
      </w:r>
    </w:p>
    <w:p>
      <w:pPr>
        <w:framePr w:w="1718" w:x="8976" w:y="13439"/>
        <w:widowControl w:val="0"/>
        <w:autoSpaceDE w:val="0"/>
        <w:autoSpaceDN w:val="0"/>
        <w:spacing w:line="211" w:lineRule="exact"/>
        <w:ind w:left="29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p>
    <w:p>
      <w:pPr>
        <w:framePr w:w="1718" w:x="8976" w:y="1343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本期期末金额较</w:t>
      </w:r>
    </w:p>
    <w:p>
      <w:pPr>
        <w:framePr w:w="1718" w:x="8976" w:y="1343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上期期末变动比</w:t>
      </w:r>
    </w:p>
    <w:p>
      <w:pPr>
        <w:framePr w:w="1718" w:x="8976" w:y="13439"/>
        <w:widowControl w:val="0"/>
        <w:autoSpaceDE w:val="0"/>
        <w:autoSpaceDN w:val="0"/>
        <w:spacing w:before="60" w:line="211" w:lineRule="exact"/>
        <w:ind w:left="37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例（</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1296" w:x="4331" w:y="137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本期期末数</w:t>
      </w:r>
    </w:p>
    <w:p>
      <w:pPr>
        <w:framePr w:w="1296" w:x="7557" w:y="137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上期期末数</w:t>
      </w:r>
    </w:p>
    <w:p>
      <w:pPr>
        <w:framePr w:w="1296" w:x="7557" w:y="1372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占总资产的</w:t>
      </w:r>
    </w:p>
    <w:p>
      <w:pPr>
        <w:framePr w:w="1296" w:x="7557" w:y="13722"/>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662" w:x="10780" w:y="138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情况</w:t>
      </w:r>
    </w:p>
    <w:p>
      <w:pPr>
        <w:framePr w:w="662" w:x="10780" w:y="1385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说明</w:t>
      </w:r>
    </w:p>
    <w:p>
      <w:pPr>
        <w:framePr w:w="1085" w:x="1178" w:y="139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项目名称</w:t>
      </w:r>
    </w:p>
    <w:p>
      <w:pPr>
        <w:framePr w:w="1296" w:x="2813" w:y="139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本期期末数</w:t>
      </w:r>
    </w:p>
    <w:p>
      <w:pPr>
        <w:framePr w:w="1334" w:x="4331" w:y="139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占总资产的</w:t>
      </w:r>
    </w:p>
    <w:p>
      <w:pPr>
        <w:framePr w:w="1334" w:x="4331" w:y="13996"/>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334" w:x="4331" w:y="13996"/>
        <w:widowControl w:val="0"/>
        <w:autoSpaceDE w:val="0"/>
        <w:autoSpaceDN w:val="0"/>
        <w:spacing w:before="72" w:line="211" w:lineRule="exact"/>
        <w:ind w:left="67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3.44</w:t>
      </w:r>
    </w:p>
    <w:p>
      <w:pPr>
        <w:framePr w:w="1613" w:x="5898" w:y="13996"/>
        <w:widowControl w:val="0"/>
        <w:autoSpaceDE w:val="0"/>
        <w:autoSpaceDN w:val="0"/>
        <w:spacing w:line="211" w:lineRule="exact"/>
        <w:ind w:left="2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上期期末数</w:t>
      </w:r>
    </w:p>
    <w:p>
      <w:pPr>
        <w:framePr w:w="1613" w:x="5898" w:y="13996"/>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55,822,821.60</w:t>
      </w:r>
    </w:p>
    <w:p>
      <w:pPr>
        <w:framePr w:w="1718" w:x="816" w:y="145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718" w:x="816" w:y="1455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718" w:x="2604" w:y="14550"/>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80,384,715.04</w:t>
      </w:r>
    </w:p>
    <w:p>
      <w:pPr>
        <w:framePr w:w="1718" w:x="2604" w:y="1455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207,747,577.03</w:t>
      </w:r>
    </w:p>
    <w:p>
      <w:pPr>
        <w:framePr w:w="662" w:x="8265" w:y="1455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2.42</w:t>
      </w:r>
    </w:p>
    <w:p>
      <w:pPr>
        <w:framePr w:w="1459" w:x="9895" w:y="14550"/>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44.00</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459" w:x="9895" w:y="1455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-27.52</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w:t>
      </w:r>
    </w:p>
    <w:p>
      <w:pPr>
        <w:framePr w:w="2503" w:x="5003" w:y="148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8.90</w:t>
      </w:r>
      <w:r>
        <w:rPr>
          <w:rFonts w:ascii="SimSun" w:eastAsiaTheme="minorEastAsia" w:hAnsiTheme="minorHAnsi" w:cstheme="minorBidi"/>
          <w:color w:val="000000"/>
          <w:spacing w:val="26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286,626,640.04</w:t>
      </w:r>
    </w:p>
    <w:p>
      <w:pPr>
        <w:framePr w:w="768" w:x="8159" w:y="148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12.44</w:t>
      </w:r>
    </w:p>
    <w:p>
      <w:pPr>
        <w:framePr w:w="847" w:x="5389"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60" type="#_x0000_t75" style="width:445.6pt;height:2.7pt;margin-top:53.5pt;margin-left:61.4pt;mso-position-horizontal-relative:page;mso-position-vertical-relative:page;position:absolute;z-index:-251191296">
            <v:imagedata r:id="rId35" o:title=""/>
          </v:shape>
        </w:pict>
      </w:r>
      <w:r>
        <w:rPr>
          <w:noProof/>
        </w:rPr>
        <w:pict>
          <v:shape id="_x0000_s1061" type="#_x0000_t75" style="width:455pt;height:44.85pt;margin-top:70.1pt;margin-left:57.2pt;mso-position-horizontal-relative:page;mso-position-vertical-relative:page;position:absolute;z-index:-251228160">
            <v:imagedata r:id="rId36" o:title=""/>
          </v:shape>
        </w:pict>
      </w:r>
      <w:r>
        <w:rPr>
          <w:noProof/>
        </w:rPr>
        <w:pict>
          <v:shape id="_x0000_s1062" type="#_x0000_t75" style="width:455pt;height:101.25pt;margin-top:258.75pt;margin-left:57.2pt;mso-position-horizontal-relative:page;mso-position-vertical-relative:page;position:absolute;z-index:-251313152">
            <v:imagedata r:id="rId37" o:title=""/>
          </v:shape>
        </w:pict>
      </w:r>
      <w:r>
        <w:rPr>
          <w:noProof/>
        </w:rPr>
        <w:pict>
          <v:shape id="_x0000_s1063" type="#_x0000_t75" style="width:455pt;height:59pt;margin-top:470.6pt;margin-left:57.2pt;mso-position-horizontal-relative:page;mso-position-vertical-relative:page;position:absolute;z-index:-251446272">
            <v:imagedata r:id="rId38" o:title=""/>
          </v:shape>
        </w:pict>
      </w:r>
      <w:r>
        <w:rPr>
          <w:noProof/>
        </w:rPr>
        <w:pict>
          <v:shape id="_x0000_s1064" type="#_x0000_t75" style="width:534.2pt;height:72.1pt;margin-top:683.15pt;margin-left:34.3pt;mso-position-horizontal-relative:page;mso-position-vertical-relative:page;position:absolute;z-index:-251643904">
            <v:imagedata r:id="rId39" o:title=""/>
          </v:shape>
        </w:pict>
      </w:r>
    </w:p>
    <w:p>
      <w:pPr>
        <w:spacing w:line="0" w:lineRule="atLeast"/>
        <w:rPr>
          <w:rFonts w:ascii="Arial" w:eastAsiaTheme="minorEastAsia" w:hAnsiTheme="minorHAnsi" w:cstheme="minorBidi"/>
          <w:color w:val="FF0000"/>
          <w:sz w:val="2"/>
          <w:szCs w:val="22"/>
          <w:lang w:val="en-US" w:eastAsia="en-US" w:bidi="ar-SA"/>
        </w:rPr>
      </w:pPr>
      <w:bookmarkStart w:id="15" w:name="br1_14"/>
      <w:bookmarkEnd w:id="15"/>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816" w:y="1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507" w:x="6003"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768" w:x="8159" w:y="1461"/>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0.05</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0.65</w:t>
      </w:r>
    </w:p>
    <w:p>
      <w:pPr>
        <w:framePr w:w="768" w:x="8159" w:y="146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0.64</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0.10</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3.73</w:t>
      </w:r>
    </w:p>
    <w:p>
      <w:pPr>
        <w:framePr w:w="768" w:x="8159" w:y="146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14.64</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0.42</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0.14</w:t>
      </w:r>
    </w:p>
    <w:p>
      <w:pPr>
        <w:framePr w:w="768" w:x="8159" w:y="146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8.42</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3.59</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1.29</w:t>
      </w:r>
    </w:p>
    <w:p>
      <w:pPr>
        <w:framePr w:w="768" w:x="8159" w:y="146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0.12</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0.12</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0.22</w:t>
      </w:r>
    </w:p>
    <w:p>
      <w:pPr>
        <w:framePr w:w="768" w:x="8159" w:y="146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0.53</w:t>
      </w:r>
    </w:p>
    <w:p>
      <w:pPr>
        <w:framePr w:w="768" w:x="8159" w:y="14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610" w:x="10744" w:y="1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w:t>
      </w:r>
    </w:p>
    <w:p>
      <w:pPr>
        <w:framePr w:w="874" w:x="9895" w:y="16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-33.98</w:t>
      </w:r>
    </w:p>
    <w:p>
      <w:pPr>
        <w:framePr w:w="1507" w:x="816" w:y="17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w:t>
      </w:r>
    </w:p>
    <w:p>
      <w:pPr>
        <w:framePr w:w="1507" w:x="816" w:y="174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718" w:x="2604" w:y="174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10,688,694.00</w:t>
      </w:r>
    </w:p>
    <w:p>
      <w:pPr>
        <w:framePr w:w="1718" w:x="2604" w:y="174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53,150,841.31</w:t>
      </w:r>
    </w:p>
    <w:p>
      <w:pPr>
        <w:framePr w:w="1718" w:x="2604" w:y="174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14,525,828.66</w:t>
      </w:r>
    </w:p>
    <w:p>
      <w:pPr>
        <w:framePr w:w="1718" w:x="2604" w:y="174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104,402,633.56</w:t>
      </w:r>
    </w:p>
    <w:p>
      <w:pPr>
        <w:framePr w:w="1718" w:x="2604" w:y="174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537,175,841.18</w:t>
      </w:r>
    </w:p>
    <w:p>
      <w:pPr>
        <w:framePr w:w="1718" w:x="2604" w:y="1744"/>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5,754,148.02</w:t>
      </w:r>
    </w:p>
    <w:p>
      <w:pPr>
        <w:framePr w:w="1718" w:x="2604" w:y="1744"/>
        <w:widowControl w:val="0"/>
        <w:autoSpaceDE w:val="0"/>
        <w:autoSpaceDN w:val="0"/>
        <w:spacing w:before="7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662" w:x="5003" w:y="17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0.46</w:t>
      </w:r>
    </w:p>
    <w:p>
      <w:pPr>
        <w:framePr w:w="662" w:x="5003" w:y="174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2.28</w:t>
      </w:r>
    </w:p>
    <w:p>
      <w:pPr>
        <w:framePr w:w="662" w:x="5003" w:y="174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0.62</w:t>
      </w:r>
    </w:p>
    <w:p>
      <w:pPr>
        <w:framePr w:w="662" w:x="5003" w:y="174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4.47</w:t>
      </w:r>
    </w:p>
    <w:p>
      <w:pPr>
        <w:framePr w:w="1613" w:x="5898" w:y="17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1613" w:x="5898" w:y="174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14,665,853.92</w:t>
      </w:r>
    </w:p>
    <w:p>
      <w:pPr>
        <w:framePr w:w="1613" w:x="5898" w:y="174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613" w:x="5898" w:y="174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85,937,187.03</w:t>
      </w:r>
    </w:p>
    <w:p>
      <w:pPr>
        <w:framePr w:w="1459" w:x="9895" w:y="20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262.41</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w:t>
      </w:r>
    </w:p>
    <w:p>
      <w:pPr>
        <w:framePr w:w="1459" w:x="9895" w:y="202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559.57</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w:t>
      </w:r>
    </w:p>
    <w:p>
      <w:pPr>
        <w:framePr w:w="1459" w:x="9895" w:y="202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21.49</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w:t>
      </w:r>
    </w:p>
    <w:p>
      <w:pPr>
        <w:framePr w:w="1507" w:x="816" w:y="23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507" w:x="816" w:y="230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其他流动资产</w:t>
      </w:r>
    </w:p>
    <w:p>
      <w:pPr>
        <w:framePr w:w="1507" w:x="816" w:y="230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2609" w:x="4897" w:y="28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23.01</w:t>
      </w:r>
      <w:r>
        <w:rPr>
          <w:rFonts w:ascii="SimSun" w:eastAsiaTheme="minorEastAsia" w:hAnsiTheme="minorHAnsi" w:cstheme="minorBidi"/>
          <w:color w:val="000000"/>
          <w:spacing w:val="26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337,313,912.22</w:t>
      </w:r>
    </w:p>
    <w:p>
      <w:pPr>
        <w:framePr w:w="1354" w:x="10000" w:y="28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59.25</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w:t>
      </w:r>
    </w:p>
    <w:p>
      <w:pPr>
        <w:framePr w:w="1718" w:x="816" w:y="31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w:t>
      </w:r>
    </w:p>
    <w:p>
      <w:pPr>
        <w:framePr w:w="1718" w:x="816" w:y="315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718" w:x="816" w:y="315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662" w:x="5003" w:y="31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0.25</w:t>
      </w:r>
    </w:p>
    <w:p>
      <w:pPr>
        <w:framePr w:w="662" w:x="5003" w:y="315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1507" w:x="6003" w:y="31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9,731,431.83</w:t>
      </w:r>
    </w:p>
    <w:p>
      <w:pPr>
        <w:framePr w:w="1507" w:x="6003" w:y="315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774" w:x="9686" w:y="3156"/>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-40.87</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w:t>
      </w:r>
    </w:p>
    <w:p>
      <w:pPr>
        <w:framePr w:w="1774" w:x="9686" w:y="3156"/>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-98.00</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w:t>
      </w:r>
    </w:p>
    <w:p>
      <w:pPr>
        <w:framePr w:w="1774" w:x="9686" w:y="3156"/>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36.89</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p>
    <w:p>
      <w:pPr>
        <w:framePr w:w="1774" w:x="9686" w:y="3156"/>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30.85</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11</w:t>
      </w:r>
    </w:p>
    <w:p>
      <w:pPr>
        <w:framePr w:w="1774" w:x="9686" w:y="3156"/>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39.29</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p>
    <w:p>
      <w:pPr>
        <w:framePr w:w="1774" w:x="9686" w:y="3156"/>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-46.80</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13</w:t>
      </w:r>
    </w:p>
    <w:p>
      <w:pPr>
        <w:framePr w:w="1774" w:x="9686" w:y="3156"/>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504.45</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14</w:t>
      </w:r>
    </w:p>
    <w:p>
      <w:pPr>
        <w:framePr w:w="1774" w:x="9686" w:y="3156"/>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-37.22</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15</w:t>
      </w:r>
    </w:p>
    <w:p>
      <w:pPr>
        <w:framePr w:w="1774" w:x="9686" w:y="3156"/>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-89.23</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16</w:t>
      </w:r>
    </w:p>
    <w:p>
      <w:pPr>
        <w:framePr w:w="1774" w:x="9686" w:y="315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1,562.36</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17</w:t>
      </w:r>
    </w:p>
    <w:p>
      <w:pPr>
        <w:framePr w:w="1718" w:x="2604" w:y="37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265,430,000.00</w:t>
      </w:r>
    </w:p>
    <w:p>
      <w:pPr>
        <w:framePr w:w="1718" w:x="2604" w:y="372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108,252,970.88</w:t>
      </w:r>
    </w:p>
    <w:p>
      <w:pPr>
        <w:framePr w:w="1718" w:x="2604" w:y="372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41,368,978.49</w:t>
      </w:r>
    </w:p>
    <w:p>
      <w:pPr>
        <w:framePr w:w="1718" w:x="2604" w:y="3720"/>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1,474,708.92</w:t>
      </w:r>
    </w:p>
    <w:p>
      <w:pPr>
        <w:framePr w:w="1718" w:x="2604" w:y="372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16,123,183.20</w:t>
      </w:r>
    </w:p>
    <w:p>
      <w:pPr>
        <w:framePr w:w="1718" w:x="2604" w:y="3720"/>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3,116,340.19</w:t>
      </w:r>
    </w:p>
    <w:p>
      <w:pPr>
        <w:framePr w:w="1718" w:x="2604" w:y="3720"/>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1,310,525.28</w:t>
      </w:r>
    </w:p>
    <w:p>
      <w:pPr>
        <w:framePr w:w="1718" w:x="2604" w:y="3720"/>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1,710,085.93</w:t>
      </w:r>
    </w:p>
    <w:p>
      <w:pPr>
        <w:framePr w:w="2609" w:x="4897" w:y="37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11.37</w:t>
      </w:r>
      <w:r>
        <w:rPr>
          <w:rFonts w:ascii="SimSun" w:eastAsiaTheme="minorEastAsia" w:hAnsiTheme="minorHAnsi" w:cstheme="minorBidi"/>
          <w:color w:val="000000"/>
          <w:spacing w:val="26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193,900,000.00</w:t>
      </w:r>
    </w:p>
    <w:p>
      <w:pPr>
        <w:framePr w:w="1085" w:x="816" w:y="40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w:t>
      </w:r>
    </w:p>
    <w:p>
      <w:pPr>
        <w:framePr w:w="662" w:x="5003" w:y="40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4.64</w:t>
      </w:r>
    </w:p>
    <w:p>
      <w:pPr>
        <w:framePr w:w="662" w:x="5003" w:y="400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1.77</w:t>
      </w:r>
    </w:p>
    <w:p>
      <w:pPr>
        <w:framePr w:w="662" w:x="5003" w:y="400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0.06</w:t>
      </w:r>
    </w:p>
    <w:p>
      <w:pPr>
        <w:framePr w:w="662" w:x="5003" w:y="400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0.69</w:t>
      </w:r>
    </w:p>
    <w:p>
      <w:pPr>
        <w:framePr w:w="662" w:x="5003" w:y="400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0.13</w:t>
      </w:r>
    </w:p>
    <w:p>
      <w:pPr>
        <w:framePr w:w="662" w:x="5003" w:y="400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0.06</w:t>
      </w:r>
    </w:p>
    <w:p>
      <w:pPr>
        <w:framePr w:w="662" w:x="5003" w:y="400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0.07</w:t>
      </w:r>
    </w:p>
    <w:p>
      <w:pPr>
        <w:framePr w:w="1613" w:x="5898" w:y="40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82,730,306.24</w:t>
      </w:r>
    </w:p>
    <w:p>
      <w:pPr>
        <w:framePr w:w="1613" w:x="5898" w:y="400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p>
    <w:p>
      <w:pPr>
        <w:framePr w:w="1613" w:x="5898" w:y="400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1613" w:x="5898" w:y="400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613" w:x="5898" w:y="400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4,964,009.23</w:t>
      </w:r>
    </w:p>
    <w:p>
      <w:pPr>
        <w:framePr w:w="1613" w:x="5898" w:y="400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1613" w:x="5898" w:y="4003"/>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102,871.18</w:t>
      </w:r>
    </w:p>
    <w:p>
      <w:pPr>
        <w:framePr w:w="1507" w:x="816" w:y="42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应付职工薪酬</w:t>
      </w:r>
    </w:p>
    <w:p>
      <w:pPr>
        <w:framePr w:w="1507" w:x="816" w:y="428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1507" w:x="816" w:y="48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507" w:x="816" w:y="485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w:t>
      </w:r>
    </w:p>
    <w:p>
      <w:pPr>
        <w:framePr w:w="1507" w:x="816" w:y="485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1718" w:x="816" w:y="56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085" w:x="1277" w:y="60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5864" w:x="1277" w:y="66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：主要系未到期理财产品及远期结售汇增加所致。</w:t>
      </w:r>
    </w:p>
    <w:p>
      <w:pPr>
        <w:framePr w:w="5864" w:x="1277" w:y="662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：主要系加大催收力度及部分客户账期调整所致。。</w:t>
      </w:r>
    </w:p>
    <w:p>
      <w:pPr>
        <w:framePr w:w="5864" w:x="1277" w:y="662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：主要系本期将应收票据背书转让支付采购款所致。</w:t>
      </w:r>
    </w:p>
    <w:p>
      <w:pPr>
        <w:framePr w:w="5864" w:x="1277" w:y="662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：主要系根据疫情情况保障正常生产提前增加备货所致。</w:t>
      </w:r>
    </w:p>
    <w:p>
      <w:pPr>
        <w:framePr w:w="5864" w:x="1277" w:y="6629"/>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：主要系子公司辽宁先达预计应收保险理赔款所致。</w:t>
      </w:r>
    </w:p>
    <w:p>
      <w:pPr>
        <w:framePr w:w="5864" w:x="1277" w:y="662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：主要系本期增值税留抵税额增加所致。</w:t>
      </w:r>
    </w:p>
    <w:p>
      <w:pPr>
        <w:framePr w:w="6704" w:x="1277" w:y="98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：主要系子公司辽宁先达部分在建工程结转固定资产所致。</w:t>
      </w:r>
    </w:p>
    <w:p>
      <w:pPr>
        <w:framePr w:w="6704" w:x="1277" w:y="980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：主要系前期计提的减值准备本期转回和预计负债计提减少所致。</w:t>
      </w:r>
    </w:p>
    <w:p>
      <w:pPr>
        <w:framePr w:w="6704" w:x="1277" w:y="980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z w:val="21"/>
          <w:szCs w:val="22"/>
          <w:lang w:val="en-US" w:eastAsia="en-US" w:bidi="ar-SA"/>
        </w:rPr>
        <w:t>：主要系远期结售汇公允价值变动所致。</w:t>
      </w:r>
    </w:p>
    <w:p>
      <w:pPr>
        <w:framePr w:w="6908" w:x="1277" w:y="11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：主要系利用银行授信开具银行承兑汇票用于采购结算增加所致。</w:t>
      </w:r>
    </w:p>
    <w:p>
      <w:pPr>
        <w:framePr w:w="6908" w:x="1277" w:y="1138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11</w:t>
      </w:r>
      <w:r>
        <w:rPr>
          <w:rFonts w:ascii="SimSun" w:hAnsi="SimSun" w:eastAsiaTheme="minorEastAsia" w:cs="SimSun"/>
          <w:color w:val="000000"/>
          <w:sz w:val="21"/>
          <w:szCs w:val="22"/>
          <w:lang w:val="en-US" w:eastAsia="en-US" w:bidi="ar-SA"/>
        </w:rPr>
        <w:t>：主要系本期销售规模扩大所预收货款增加所致。</w:t>
      </w:r>
    </w:p>
    <w:p>
      <w:pPr>
        <w:framePr w:w="6908" w:x="1277" w:y="1138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：主要系公司人员增加及薪酬标准提高、计提</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年度绩效所致。</w:t>
      </w:r>
    </w:p>
    <w:p>
      <w:pPr>
        <w:framePr w:w="6908" w:x="1277" w:y="1138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13</w:t>
      </w:r>
      <w:r>
        <w:rPr>
          <w:rFonts w:ascii="SimSun" w:hAnsi="SimSun" w:eastAsiaTheme="minorEastAsia" w:cs="SimSun"/>
          <w:color w:val="000000"/>
          <w:sz w:val="21"/>
          <w:szCs w:val="22"/>
          <w:lang w:val="en-US" w:eastAsia="en-US" w:bidi="ar-SA"/>
        </w:rPr>
        <w:t>：主要系利润总额较上年同期减少税负降低所致。</w:t>
      </w:r>
    </w:p>
    <w:p>
      <w:pPr>
        <w:framePr w:w="6908" w:x="1277" w:y="1138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14</w:t>
      </w:r>
      <w:r>
        <w:rPr>
          <w:rFonts w:ascii="SimSun" w:hAnsi="SimSun" w:eastAsiaTheme="minorEastAsia" w:cs="SimSun"/>
          <w:color w:val="000000"/>
          <w:sz w:val="21"/>
          <w:szCs w:val="22"/>
          <w:lang w:val="en-US" w:eastAsia="en-US" w:bidi="ar-SA"/>
        </w:rPr>
        <w:t>：主要系</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年限制性股票激励计划员工认购款所致。</w:t>
      </w:r>
    </w:p>
    <w:p>
      <w:pPr>
        <w:framePr w:w="6908" w:x="1277" w:y="11386"/>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15</w:t>
      </w:r>
      <w:r>
        <w:rPr>
          <w:rFonts w:ascii="SimSun" w:hAnsi="SimSun" w:eastAsiaTheme="minorEastAsia" w:cs="SimSun"/>
          <w:color w:val="000000"/>
          <w:sz w:val="21"/>
          <w:szCs w:val="22"/>
          <w:lang w:val="en-US" w:eastAsia="en-US" w:bidi="ar-SA"/>
        </w:rPr>
        <w:t>：主要系预收货款税额减少所致。</w:t>
      </w:r>
    </w:p>
    <w:p>
      <w:pPr>
        <w:framePr w:w="5547" w:x="1277" w:y="145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16</w:t>
      </w:r>
      <w:r>
        <w:rPr>
          <w:rFonts w:ascii="SimSun" w:hAnsi="SimSun" w:eastAsiaTheme="minorEastAsia" w:cs="SimSun"/>
          <w:color w:val="000000"/>
          <w:sz w:val="21"/>
          <w:szCs w:val="22"/>
          <w:lang w:val="en-US" w:eastAsia="en-US" w:bidi="ar-SA"/>
        </w:rPr>
        <w:t>：主要系报告期末危废库存量较上年同期降低所致。</w:t>
      </w:r>
    </w:p>
    <w:p>
      <w:pPr>
        <w:framePr w:w="847" w:x="5389"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65" type="#_x0000_t75" style="width:445.6pt;height:2.7pt;margin-top:53.5pt;margin-left:61.4pt;mso-position-horizontal-relative:page;mso-position-vertical-relative:page;position:absolute;z-index:-251445248">
            <v:imagedata r:id="rId40" o:title=""/>
          </v:shape>
        </w:pict>
      </w:r>
      <w:r>
        <w:rPr>
          <w:noProof/>
        </w:rPr>
        <w:pict>
          <v:shape id="_x0000_s1066" type="#_x0000_t75" style="width:534.2pt;height:228.35pt;margin-top:70.1pt;margin-left:34.3pt;mso-position-horizontal-relative:page;mso-position-vertical-relative:page;position:absolute;z-index:-251642880">
            <v:imagedata r:id="rId41" o:title=""/>
          </v:shape>
        </w:pict>
      </w:r>
    </w:p>
    <w:p>
      <w:pPr>
        <w:spacing w:line="0" w:lineRule="atLeast"/>
        <w:rPr>
          <w:rFonts w:ascii="Arial" w:eastAsiaTheme="minorEastAsia" w:hAnsiTheme="minorHAnsi" w:cstheme="minorBidi"/>
          <w:color w:val="FF0000"/>
          <w:sz w:val="2"/>
          <w:szCs w:val="22"/>
          <w:lang w:val="en-US" w:eastAsia="en-US" w:bidi="ar-SA"/>
        </w:rPr>
      </w:pPr>
      <w:bookmarkStart w:id="16" w:name="br1_15"/>
      <w:bookmarkEnd w:id="16"/>
      <w:r>
        <w:rPr>
          <w:rFonts w:ascii="Arial" w:eastAsiaTheme="minorEastAsia" w:hAnsiTheme="minorHAnsi" w:cstheme="minorBidi"/>
          <w:color w:val="FF0000"/>
          <w:sz w:val="2"/>
          <w:szCs w:val="22"/>
          <w:lang w:val="en-US" w:eastAsia="en-US" w:bidi="ar-SA"/>
        </w:rPr>
        <w:t xml:space="preserve"> </w:t>
      </w:r>
    </w:p>
    <w:p>
      <w:pPr>
        <w:framePr w:w="1550" w:x="502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865" w:x="1277" w:y="14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17</w:t>
      </w:r>
      <w:r>
        <w:rPr>
          <w:rFonts w:ascii="SimSun" w:hAnsi="SimSun" w:eastAsiaTheme="minorEastAsia" w:cs="SimSun"/>
          <w:color w:val="000000"/>
          <w:sz w:val="21"/>
          <w:szCs w:val="22"/>
          <w:lang w:val="en-US" w:eastAsia="en-US" w:bidi="ar-SA"/>
        </w:rPr>
        <w:t>：主要系公允价值变动增加所致。</w:t>
      </w:r>
    </w:p>
    <w:p>
      <w:pPr>
        <w:framePr w:w="3617" w:x="1277" w:y="19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截至报告期末主要资产受限情况</w:t>
      </w:r>
    </w:p>
    <w:p>
      <w:pPr>
        <w:framePr w:w="1922" w:x="1277" w:y="23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2468" w:y="2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5271" w:y="2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064" w:x="8289" w:y="2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2064" w:x="8289" w:y="2868"/>
        <w:widowControl w:val="0"/>
        <w:autoSpaceDE w:val="0"/>
        <w:autoSpaceDN w:val="0"/>
        <w:spacing w:before="70" w:line="211" w:lineRule="exact"/>
        <w:ind w:left="35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154,161,909.76</w:t>
      </w:r>
    </w:p>
    <w:p>
      <w:pPr>
        <w:framePr w:w="1085" w:x="2256" w:y="3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085" w:x="2256" w:y="31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085" w:x="2256" w:y="31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1085" w:x="2256" w:y="31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085" w:x="2256" w:y="314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5622" w:y="31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173,518,680.64</w:t>
      </w:r>
    </w:p>
    <w:p>
      <w:pPr>
        <w:framePr w:w="1613" w:x="5727" w:y="34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41,167,463.80</w:t>
      </w:r>
    </w:p>
    <w:p>
      <w:pPr>
        <w:framePr w:w="1613" w:x="5727" w:y="343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4,177,094.08</w:t>
      </w:r>
    </w:p>
    <w:p>
      <w:pPr>
        <w:framePr w:w="1613" w:x="5727" w:y="3432"/>
        <w:widowControl w:val="0"/>
        <w:autoSpaceDE w:val="0"/>
        <w:autoSpaceDN w:val="0"/>
        <w:spacing w:before="70" w:line="211" w:lineRule="exact"/>
        <w:ind w:left="94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1718" w:x="8639" w:y="3432"/>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49,168,970.12</w:t>
      </w:r>
    </w:p>
    <w:p>
      <w:pPr>
        <w:framePr w:w="1718" w:x="8639" w:y="343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120,210,076.28</w:t>
      </w:r>
    </w:p>
    <w:p>
      <w:pPr>
        <w:framePr w:w="1718" w:x="8639" w:y="343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79,554,419.13</w:t>
      </w:r>
    </w:p>
    <w:p>
      <w:pPr>
        <w:framePr w:w="1718" w:x="8639" w:y="343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403,095,375.29</w:t>
      </w:r>
    </w:p>
    <w:p>
      <w:pPr>
        <w:framePr w:w="1718" w:x="5622" w:y="42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218,863,238.52</w:t>
      </w:r>
    </w:p>
    <w:p>
      <w:pPr>
        <w:framePr w:w="1510" w:x="1277" w:y="49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其他说明</w:t>
      </w:r>
    </w:p>
    <w:p>
      <w:pPr>
        <w:framePr w:w="1922" w:x="1277" w:y="54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277" w:y="58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四</w:t>
      </w:r>
      <w:r>
        <w:rPr>
          <w:rFonts w:ascii="SimSun" w:eastAsiaTheme="minorEastAsia" w:hAnsiTheme="minorHAnsi" w:cstheme="minorBidi"/>
          <w:color w:val="000000"/>
          <w:sz w:val="21"/>
          <w:szCs w:val="22"/>
          <w:lang w:val="en-US" w:eastAsia="en-US" w:bidi="ar-SA"/>
        </w:rPr>
        <w:t>)</w:t>
      </w:r>
    </w:p>
    <w:p>
      <w:pPr>
        <w:framePr w:w="2141" w:x="2117" w:y="5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行业经营性信息分析</w:t>
      </w:r>
    </w:p>
    <w:p>
      <w:pPr>
        <w:framePr w:w="1922" w:x="1277" w:y="64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56" w:x="1697" w:y="67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根据中国证监会发布的</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pacing w:val="-4"/>
          <w:sz w:val="21"/>
          <w:szCs w:val="22"/>
          <w:lang w:val="en-US" w:eastAsia="en-US" w:bidi="ar-SA"/>
        </w:rPr>
        <w:t>季度上市公司行业分类结果，本公司所属行业为化学原料及</w:t>
      </w:r>
    </w:p>
    <w:p>
      <w:pPr>
        <w:framePr w:w="4886" w:x="1277" w:y="72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化学制品制造业，细分行业为化学农药制造行业。</w:t>
      </w:r>
    </w:p>
    <w:p>
      <w:pPr>
        <w:framePr w:w="847" w:x="5389"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67" type="#_x0000_t75" style="width:445.6pt;height:2.7pt;margin-top:53.5pt;margin-left:61.4pt;mso-position-horizontal-relative:page;mso-position-vertical-relative:page;position:absolute;z-index:-251444224">
            <v:imagedata r:id="rId42" o:title=""/>
          </v:shape>
        </w:pict>
      </w:r>
      <w:r>
        <w:rPr>
          <w:noProof/>
        </w:rPr>
        <w:pict>
          <v:shape id="_x0000_s1068" type="#_x0000_t75" style="width:455pt;height:87.2pt;margin-top:140.4pt;margin-left:57.2pt;mso-position-horizontal-relative:page;mso-position-vertical-relative:page;position:absolute;z-index:-251641856">
            <v:imagedata r:id="rId43" o:title=""/>
          </v:shape>
        </w:pict>
      </w:r>
    </w:p>
    <w:p>
      <w:pPr>
        <w:spacing w:line="0" w:lineRule="atLeast"/>
        <w:rPr>
          <w:rFonts w:ascii="Arial" w:eastAsiaTheme="minorEastAsia" w:hAnsiTheme="minorHAnsi" w:cstheme="minorBidi"/>
          <w:color w:val="FF0000"/>
          <w:sz w:val="2"/>
          <w:szCs w:val="22"/>
          <w:lang w:val="en-US" w:eastAsia="en-US" w:bidi="ar-SA"/>
        </w:rPr>
      </w:pPr>
      <w:bookmarkStart w:id="17" w:name="br1_16"/>
      <w:bookmarkEnd w:id="17"/>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563"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化工行业经营性信息分析</w:t>
      </w:r>
    </w:p>
    <w:p>
      <w:pPr>
        <w:framePr w:w="2563" w:x="1798" w:y="1535"/>
        <w:widowControl w:val="0"/>
        <w:autoSpaceDE w:val="0"/>
        <w:autoSpaceDN w:val="0"/>
        <w:spacing w:before="320" w:line="211" w:lineRule="exact"/>
        <w:ind w:left="42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行业基本情况</w:t>
      </w:r>
    </w:p>
    <w:p>
      <w:pPr>
        <w:framePr w:w="346" w:x="1798" w:y="20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2354"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行业政策及其变化</w:t>
      </w:r>
    </w:p>
    <w:p>
      <w:pPr>
        <w:framePr w:w="1922" w:x="1798"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22" w:x="1798" w:y="351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农业是关系国计民生的基础性产业，我国历来十分重视农业，中央一号文件已连续多年聚焦</w:t>
      </w:r>
    </w:p>
    <w:p>
      <w:pPr>
        <w:framePr w:w="9322" w:x="1798" w:y="35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“三农问题”。化肥、种子、农药是现代农业的三大基石，三者对保障农业丰产丰收功不可没。</w:t>
      </w:r>
    </w:p>
    <w:p>
      <w:pPr>
        <w:framePr w:w="9322" w:x="1798" w:y="35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国家政策的支持将大大促进现代农业的发展，从而有效带动低毒高效农药的需求。此外，对于农</w:t>
      </w:r>
    </w:p>
    <w:p>
      <w:pPr>
        <w:framePr w:w="9322" w:x="1798" w:y="35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药行业，我国近几年也出台了多项产业政策鼓励、引导和支持农药行业的持续、健康、稳定发展。</w:t>
      </w:r>
    </w:p>
    <w:p>
      <w:pPr>
        <w:framePr w:w="9110" w:x="1798" w:y="52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工信部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2016</w:t>
      </w:r>
      <w:r>
        <w:rPr>
          <w:rFonts w:ascii="SimSun" w:hAnsi="SimSun" w:eastAsiaTheme="minorEastAsia" w:cs="SimSun"/>
          <w:color w:val="000000"/>
          <w:sz w:val="21"/>
          <w:szCs w:val="22"/>
          <w:lang w:val="en-US" w:eastAsia="en-US" w:bidi="ar-SA"/>
        </w:rPr>
        <w:t>年颁布的《石化和化学工业发展规划（</w:t>
      </w:r>
      <w:r>
        <w:rPr>
          <w:rFonts w:ascii="SimSun" w:eastAsiaTheme="minorEastAsia" w:hAnsiTheme="minorHAnsi" w:cstheme="minorBidi"/>
          <w:color w:val="000000"/>
          <w:sz w:val="21"/>
          <w:szCs w:val="22"/>
          <w:lang w:val="en-US" w:eastAsia="en-US" w:bidi="ar-SA"/>
        </w:rPr>
        <w:t>2016</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年）》在促进传统行业转型</w:t>
      </w:r>
    </w:p>
    <w:p>
      <w:pPr>
        <w:framePr w:w="9110" w:x="1798" w:y="526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升级方面针对农药行业提出“发展高效、安全、经济、环境友好的农药品种，进一步淘汰高毒、</w:t>
      </w:r>
    </w:p>
    <w:p>
      <w:pPr>
        <w:framePr w:w="9110" w:x="1798" w:y="52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高残留、高环境风险农药产品，优化农药产品结构；发展环保型农药制剂以及配套的新型助剂；</w:t>
      </w:r>
    </w:p>
    <w:p>
      <w:pPr>
        <w:framePr w:w="9110" w:x="1798" w:y="52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推进农药包装物回收及无害化处理；开发推广农药及其中间体的先进清洁生产工艺和先进适用污</w:t>
      </w:r>
    </w:p>
    <w:p>
      <w:pPr>
        <w:framePr w:w="9110" w:x="1798" w:y="52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染物处理技术，提升农药生产的环保水平；加快具有自主知识产权的农药新品种创制和产业化。</w:t>
      </w:r>
    </w:p>
    <w:p>
      <w:pPr>
        <w:framePr w:w="9110" w:x="1798" w:y="52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开拓卫生用农药等非农用农药市场；推进农药企业兼并重组，提高产业集中度。”</w:t>
      </w:r>
    </w:p>
    <w:p>
      <w:pPr>
        <w:framePr w:w="9079" w:x="1798" w:y="784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《农药工业“十三五”发展规划》则将农药产业发展目标明确为：到</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3"/>
          <w:sz w:val="21"/>
          <w:szCs w:val="22"/>
          <w:lang w:val="en-US" w:eastAsia="en-US" w:bidi="ar-SA"/>
        </w:rPr>
        <w:t>年，培育销售额超</w:t>
      </w:r>
    </w:p>
    <w:p>
      <w:pPr>
        <w:framePr w:w="9079" w:x="1798" w:y="7841"/>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过</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w:t>
      </w:r>
      <w:r>
        <w:rPr>
          <w:rFonts w:ascii="SimSun" w:hAnsi="SimSun" w:eastAsiaTheme="minorEastAsia" w:cs="SimSun"/>
          <w:color w:val="000000"/>
          <w:sz w:val="21"/>
          <w:szCs w:val="22"/>
          <w:lang w:val="en-US" w:eastAsia="en-US" w:bidi="ar-SA"/>
        </w:rPr>
        <w:t>亿元、具有国际竞争力的大型企业集团</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个，销售额在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w:t>
      </w:r>
      <w:r>
        <w:rPr>
          <w:rFonts w:ascii="SimSun" w:hAnsi="SimSun" w:eastAsiaTheme="minorEastAsia" w:cs="SimSun"/>
          <w:color w:val="000000"/>
          <w:sz w:val="21"/>
          <w:szCs w:val="22"/>
          <w:lang w:val="en-US" w:eastAsia="en-US" w:bidi="ar-SA"/>
        </w:rPr>
        <w:t>亿元以上的农药生产企业</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w:t>
      </w:r>
    </w:p>
    <w:p>
      <w:pPr>
        <w:framePr w:w="9079" w:x="1798" w:y="784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个，销售额在</w:t>
      </w:r>
      <w:r>
        <w:rPr>
          <w:rFonts w:eastAsiaTheme="minorEastAsia" w:hAnsiTheme="minorHAnsi" w:cstheme="minorBidi"/>
          <w:color w:val="000000"/>
          <w:spacing w:val="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亿元以上的农药生产企业</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pacing w:val="-6"/>
          <w:sz w:val="21"/>
          <w:szCs w:val="22"/>
          <w:lang w:val="en-US" w:eastAsia="en-US" w:bidi="ar-SA"/>
        </w:rPr>
        <w:t>个，国内排名前</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位的农药企业集团的销售额达到</w:t>
      </w:r>
    </w:p>
    <w:p>
      <w:pPr>
        <w:framePr w:w="9079" w:x="1798" w:y="784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全国农药总销售额的</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70%</w:t>
      </w:r>
      <w:r>
        <w:rPr>
          <w:rFonts w:ascii="SimSun" w:hAnsi="SimSun" w:eastAsiaTheme="minorEastAsia" w:cs="SimSun"/>
          <w:color w:val="000000"/>
          <w:spacing w:val="1"/>
          <w:sz w:val="21"/>
          <w:szCs w:val="22"/>
          <w:lang w:val="en-US" w:eastAsia="en-US" w:bidi="ar-SA"/>
        </w:rPr>
        <w:t>以上。</w:t>
      </w:r>
    </w:p>
    <w:p>
      <w:pPr>
        <w:framePr w:w="9110" w:x="1798" w:y="95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农业农村部在对十三届全国人大三次会议第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9325</w:t>
      </w:r>
      <w:r>
        <w:rPr>
          <w:rFonts w:ascii="SimSun" w:hAnsi="SimSun" w:eastAsiaTheme="minorEastAsia" w:cs="SimSun"/>
          <w:color w:val="000000"/>
          <w:spacing w:val="-5"/>
          <w:sz w:val="21"/>
          <w:szCs w:val="22"/>
          <w:lang w:val="en-US" w:eastAsia="en-US" w:bidi="ar-SA"/>
        </w:rPr>
        <w:t>号建议的答复中称，《全国农药产业发展规</w:t>
      </w:r>
    </w:p>
    <w:p>
      <w:pPr>
        <w:framePr w:w="9110" w:x="1798" w:y="95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划</w:t>
      </w: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2025</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》目前已形成初稿，分析了当前农药产业发展基础、面临的形势要求和问题挑</w:t>
      </w:r>
    </w:p>
    <w:p>
      <w:pPr>
        <w:framePr w:w="9110" w:x="1798" w:y="95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战，提出了“十四五”发展的总体思路、目标任务、工作重点和保障措施。下一步将广泛征求有</w:t>
      </w:r>
    </w:p>
    <w:p>
      <w:pPr>
        <w:framePr w:w="9110" w:x="1798" w:y="95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关方面意见，进一步修改完善，尽快发布实施。答复中关于支持农药创新与研发项目，提出创新</w:t>
      </w:r>
    </w:p>
    <w:p>
      <w:pPr>
        <w:framePr w:w="9110" w:x="1798" w:y="95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驱动是做大做强农药产业的内在动力。农业农村部将切实加强新农药创制和推广应用，加大扶持</w:t>
      </w:r>
    </w:p>
    <w:p>
      <w:pPr>
        <w:framePr w:w="9110" w:x="1798" w:y="959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力度，推动科研、教学、推广单位和农药企业协作，打造覆盖农药创新全链条、全环节、对农药</w:t>
      </w:r>
    </w:p>
    <w:p>
      <w:pPr>
        <w:framePr w:w="9110" w:x="1798" w:y="95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创新具有强大支撑能力的创新平台。</w:t>
      </w:r>
    </w:p>
    <w:p>
      <w:pPr>
        <w:framePr w:w="9110" w:x="1798" w:y="1257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2017</w:t>
      </w:r>
      <w:r>
        <w:rPr>
          <w:rFonts w:ascii="SimSun" w:hAnsi="SimSun" w:eastAsiaTheme="minorEastAsia" w:cs="SimSun"/>
          <w:color w:val="000000"/>
          <w:spacing w:val="-8"/>
          <w:sz w:val="21"/>
          <w:szCs w:val="22"/>
          <w:lang w:val="en-US" w:eastAsia="en-US" w:bidi="ar-SA"/>
        </w:rPr>
        <w:t>年新《农药管理条例》开始施行，农业农村部相继发布了《农药登记管理办法》、《农</w:t>
      </w:r>
    </w:p>
    <w:p>
      <w:pPr>
        <w:framePr w:w="9110" w:x="1798" w:y="125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药登记实验管理办法》、《农药经营许可管理办法》、《农药生产许可管理办法》、《农药标签</w:t>
      </w:r>
    </w:p>
    <w:p>
      <w:pPr>
        <w:framePr w:w="9110" w:x="1798" w:y="125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和说明书管理办法》等</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个配套规章及《农药登记资料要求》等</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个规范性文件，对农药行业的</w:t>
      </w:r>
    </w:p>
    <w:p>
      <w:pPr>
        <w:framePr w:w="9110" w:x="1798" w:y="1257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发展产生积极深远的影响。现有高毒农药的使用、经营进一步趋严，实现了从生产、流通到使用</w:t>
      </w:r>
    </w:p>
    <w:p>
      <w:pPr>
        <w:framePr w:w="9110" w:x="1798" w:y="125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的全程监管。高毒农药有序退市，为低毒、高效新品种腾出市场空间。</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69" type="#_x0000_t75" style="width:445.6pt;height:2.7pt;margin-top:53.5pt;margin-left:87.45pt;mso-position-horizontal-relative:page;mso-position-vertical-relative:page;position:absolute;z-index:-25164083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8" w:name="br1_17"/>
      <w:bookmarkEnd w:id="18"/>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同时农药行业涉及到化工生产，作为化工行业的重要组成部分之一，一方面受到农药行业政</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策的影响，另一方面受到国内化工行业政策的影响。化工入园和环保安全大整治是近年国内化工</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行业重要影响因素，全国化工园区整改提升园区的内在质量，江苏山东河北等多省市发布化工园</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区认定管理办法，关停撤销部分化工园区，保留的化工园区“绿色化”要求将进一步提高。</w:t>
      </w:r>
    </w:p>
    <w:p>
      <w:pPr>
        <w:framePr w:w="9110" w:x="1798" w:y="32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农业部发布《关于加强管理促进农药产业健康发展的意见》，也明确提出优化产业布局：到</w:t>
      </w:r>
    </w:p>
    <w:p>
      <w:pPr>
        <w:framePr w:w="9110" w:x="1798" w:y="32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年，进入化工园区或工业园区的化学农药原药生产企业达到</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60%</w:t>
      </w:r>
      <w:r>
        <w:rPr>
          <w:rFonts w:ascii="SimSun" w:hAnsi="SimSun" w:eastAsiaTheme="minorEastAsia" w:cs="SimSun"/>
          <w:color w:val="000000"/>
          <w:spacing w:val="-8"/>
          <w:sz w:val="21"/>
          <w:szCs w:val="22"/>
          <w:lang w:val="en-US" w:eastAsia="en-US" w:bidi="ar-SA"/>
        </w:rPr>
        <w:t>以上；到</w:t>
      </w:r>
      <w:r>
        <w:rPr>
          <w:rFonts w:eastAsiaTheme="minorEastAsia" w:hAnsiTheme="minorHAnsi" w:cstheme="minorBidi"/>
          <w:color w:val="000000"/>
          <w:spacing w:val="1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2025</w:t>
      </w:r>
      <w:r>
        <w:rPr>
          <w:rFonts w:ascii="SimSun" w:hAnsi="SimSun" w:eastAsiaTheme="minorEastAsia" w:cs="SimSun"/>
          <w:color w:val="000000"/>
          <w:spacing w:val="-5"/>
          <w:sz w:val="21"/>
          <w:szCs w:val="22"/>
          <w:lang w:val="en-US" w:eastAsia="en-US" w:bidi="ar-SA"/>
        </w:rPr>
        <w:t>年，进入化工</w:t>
      </w:r>
    </w:p>
    <w:p>
      <w:pPr>
        <w:framePr w:w="9110" w:x="1798" w:y="329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园区或工业园区的化学农药原药生产企业达到</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80%</w:t>
      </w:r>
      <w:r>
        <w:rPr>
          <w:rFonts w:ascii="SimSun" w:hAnsi="SimSun" w:eastAsiaTheme="minorEastAsia" w:cs="SimSun"/>
          <w:color w:val="000000"/>
          <w:sz w:val="21"/>
          <w:szCs w:val="22"/>
          <w:lang w:val="en-US" w:eastAsia="en-US" w:bidi="ar-SA"/>
        </w:rPr>
        <w:t>以上。新设农药企业须在省级以上化工园区建</w:t>
      </w:r>
    </w:p>
    <w:p>
      <w:pPr>
        <w:framePr w:w="9110" w:x="1798" w:y="32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厂；农药企业迁址或新增原药生产范围的，须进入市级（地市级）以上的化工园区或工业园区。</w:t>
      </w:r>
    </w:p>
    <w:p>
      <w:pPr>
        <w:framePr w:w="9110" w:x="1798" w:y="504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上述各项重要政策与规划的推进和落实，对我国农药行业的发展将起到引导和扶持作用，为</w:t>
      </w:r>
    </w:p>
    <w:p>
      <w:pPr>
        <w:framePr w:w="9110" w:x="1798" w:y="504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行业的可持续发展创造良好的政策环境，支持创新，加速产业集群化发展，有利于提高资源配置</w:t>
      </w:r>
    </w:p>
    <w:p>
      <w:pPr>
        <w:framePr w:w="9110" w:x="1798" w:y="504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效率。</w:t>
      </w:r>
    </w:p>
    <w:p>
      <w:pPr>
        <w:framePr w:w="4464" w:x="1798"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主要细分行业的基本情况及公司行业地位</w:t>
      </w:r>
    </w:p>
    <w:p>
      <w:pPr>
        <w:framePr w:w="1922" w:x="1798" w:y="69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22" w:x="1798" w:y="731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全球作物保护市场主要由五家大型跨国公司主导，</w:t>
      </w: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pacing w:val="-2"/>
          <w:sz w:val="21"/>
          <w:szCs w:val="22"/>
          <w:lang w:val="en-US" w:eastAsia="en-US" w:bidi="ar-SA"/>
        </w:rPr>
        <w:t>年，陶氏与杜邦合并成立科迪华、拜</w:t>
      </w:r>
    </w:p>
    <w:p>
      <w:pPr>
        <w:framePr w:w="9322" w:x="1798" w:y="731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耳收购孟山都、中国化工集团兼并重组先正达，</w:t>
      </w:r>
      <w:r>
        <w:rPr>
          <w:rFonts w:ascii="SimSun" w:eastAsiaTheme="minorEastAsia" w:hAnsiTheme="minorHAnsi" w:cstheme="minorBidi"/>
          <w:color w:val="333333"/>
          <w:spacing w:val="-1"/>
          <w:sz w:val="21"/>
          <w:szCs w:val="22"/>
          <w:lang w:val="en-US" w:eastAsia="en-US" w:bidi="ar-SA"/>
        </w:rPr>
        <w:t>2020</w:t>
      </w:r>
      <w:r>
        <w:rPr>
          <w:rFonts w:ascii="SimSun" w:hAnsi="SimSun" w:eastAsiaTheme="minorEastAsia" w:cs="SimSun"/>
          <w:color w:val="333333"/>
          <w:sz w:val="21"/>
          <w:szCs w:val="22"/>
          <w:lang w:val="en-US" w:eastAsia="en-US" w:bidi="ar-SA"/>
        </w:rPr>
        <w:t>年</w:t>
      </w:r>
      <w:r>
        <w:rPr>
          <w:rFonts w:eastAsiaTheme="minorEastAsia" w:hAnsiTheme="minorHAnsi" w:cstheme="minorBidi"/>
          <w:color w:val="333333"/>
          <w:spacing w:val="1"/>
          <w:sz w:val="21"/>
          <w:szCs w:val="22"/>
          <w:lang w:val="en-US" w:eastAsia="en-US" w:bidi="ar-SA"/>
        </w:rPr>
        <w:t xml:space="preserve"> </w:t>
      </w:r>
      <w:r>
        <w:rPr>
          <w:rFonts w:ascii="SimSun" w:eastAsiaTheme="minorEastAsia" w:hAnsiTheme="minorHAnsi" w:cstheme="minorBidi"/>
          <w:color w:val="333333"/>
          <w:spacing w:val="51"/>
          <w:sz w:val="21"/>
          <w:szCs w:val="22"/>
          <w:lang w:val="en-US" w:eastAsia="en-US" w:bidi="ar-SA"/>
        </w:rPr>
        <w:t>6</w:t>
      </w:r>
      <w:r>
        <w:rPr>
          <w:rFonts w:ascii="SimSun" w:hAnsi="SimSun" w:eastAsiaTheme="minorEastAsia" w:cs="SimSun"/>
          <w:color w:val="333333"/>
          <w:spacing w:val="1"/>
          <w:sz w:val="21"/>
          <w:szCs w:val="22"/>
          <w:lang w:val="en-US" w:eastAsia="en-US" w:bidi="ar-SA"/>
        </w:rPr>
        <w:t>月</w:t>
      </w:r>
      <w:r>
        <w:rPr>
          <w:rFonts w:ascii="SimSun" w:hAnsi="SimSun" w:eastAsiaTheme="minorEastAsia" w:cs="SimSun"/>
          <w:color w:val="000000"/>
          <w:spacing w:val="-1"/>
          <w:sz w:val="21"/>
          <w:szCs w:val="22"/>
          <w:lang w:val="en-US" w:eastAsia="en-US" w:bidi="ar-SA"/>
        </w:rPr>
        <w:t>先正达、安道麦、扬农化工等资产整</w:t>
      </w:r>
    </w:p>
    <w:p>
      <w:pPr>
        <w:framePr w:w="9322" w:x="1798" w:y="73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合成立</w:t>
      </w:r>
      <w:r>
        <w:rPr>
          <w:rFonts w:ascii="SimSun" w:hAnsi="SimSun" w:eastAsiaTheme="minorEastAsia" w:cs="SimSun"/>
          <w:color w:val="333333"/>
          <w:sz w:val="21"/>
          <w:szCs w:val="22"/>
          <w:lang w:val="en-US" w:eastAsia="en-US" w:bidi="ar-SA"/>
        </w:rPr>
        <w:t>先正达集团</w:t>
      </w:r>
      <w:r>
        <w:rPr>
          <w:rFonts w:ascii="SimSun" w:hAnsi="SimSun" w:eastAsiaTheme="minorEastAsia" w:cs="SimSun"/>
          <w:color w:val="000000"/>
          <w:spacing w:val="-3"/>
          <w:sz w:val="21"/>
          <w:szCs w:val="22"/>
          <w:lang w:val="en-US" w:eastAsia="en-US" w:bidi="ar-SA"/>
        </w:rPr>
        <w:t>、富美实从杜邦买入部分产品线及研发业务，</w:t>
      </w:r>
      <w:r>
        <w:rPr>
          <w:rFonts w:ascii="SimSun" w:hAnsi="SimSun" w:eastAsiaTheme="minorEastAsia" w:cs="SimSun"/>
          <w:color w:val="333333"/>
          <w:spacing w:val="-4"/>
          <w:sz w:val="21"/>
          <w:szCs w:val="22"/>
          <w:lang w:val="en-US" w:eastAsia="en-US" w:bidi="ar-SA"/>
        </w:rPr>
        <w:t>交易完成后，全球农化格局已定。</w:t>
      </w:r>
    </w:p>
    <w:p>
      <w:pPr>
        <w:framePr w:w="9322" w:x="1798" w:y="73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前五大农化企业在于规模优势、持续的研发投入与创新、渠道优势。</w:t>
      </w:r>
    </w:p>
    <w:p>
      <w:pPr>
        <w:framePr w:w="9322" w:x="1798" w:y="90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国内农化企业在全球产业链中更多承担原药生产，国内农药产量全球第一，同时也是最大的</w:t>
      </w:r>
    </w:p>
    <w:p>
      <w:pPr>
        <w:framePr w:w="9322" w:x="1798" w:y="906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原药供应国，在全球农药产业链主要处于上游，国内农药企业具备产业链完整优势和人力资源优</w:t>
      </w:r>
    </w:p>
    <w:p>
      <w:pPr>
        <w:framePr w:w="9322" w:x="1798" w:y="90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势，在全球具有较强竞争力。国内农药制剂企业仍较分散，集中度不高，竞争激烈。</w:t>
      </w: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年以来，</w:t>
      </w:r>
    </w:p>
    <w:p>
      <w:pPr>
        <w:framePr w:w="9322" w:x="1798" w:y="90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国内农化企业出现集中的趋势，数家上市公司并购行业企业，产业链上的横向合并以及向后整合，</w:t>
      </w:r>
    </w:p>
    <w:p>
      <w:pPr>
        <w:framePr w:w="9322" w:x="1798" w:y="90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国内农药产业的优势资源正在进一步集中。</w:t>
      </w:r>
    </w:p>
    <w:p>
      <w:pPr>
        <w:framePr w:w="8688" w:x="2218" w:y="112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公司成立</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pacing w:val="-3"/>
          <w:sz w:val="21"/>
          <w:szCs w:val="22"/>
          <w:lang w:val="en-US" w:eastAsia="en-US" w:bidi="ar-SA"/>
        </w:rPr>
        <w:t>多年来坚持深耕主业，专注除草剂和杀菌剂领域。公司核心产品烯草酮系列、异</w:t>
      </w:r>
    </w:p>
    <w:p>
      <w:pPr>
        <w:framePr w:w="8266" w:x="1798" w:y="116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噁草松系列、咪草烟系列、灭草烟系列、烯酰吗啉系列等产品产能产量位居国内前列。</w:t>
      </w:r>
    </w:p>
    <w:p>
      <w:pPr>
        <w:framePr w:w="346" w:x="1798" w:y="121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1296" w:x="2225" w:y="121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产品与生产</w:t>
      </w:r>
    </w:p>
    <w:p>
      <w:pPr>
        <w:framePr w:w="1934" w:x="1798" w:y="126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主要经营模式</w:t>
      </w:r>
    </w:p>
    <w:p>
      <w:pPr>
        <w:framePr w:w="1922" w:x="1798" w:y="13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8" w:x="1798" w:y="1361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具体内容详见本报告第三节公司业务概要“一、报告期内所从事的主要业务、经营模式及行</w:t>
      </w:r>
    </w:p>
    <w:p>
      <w:pPr>
        <w:framePr w:w="9068" w:x="1798" w:y="136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业情况说明”。</w:t>
      </w:r>
    </w:p>
    <w:p>
      <w:pPr>
        <w:framePr w:w="4959" w:x="1798" w:y="145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报告期内调整经营模式的主要情况</w:t>
      </w:r>
    </w:p>
    <w:p>
      <w:pPr>
        <w:framePr w:w="4959" w:x="1798" w:y="1455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959" w:x="1798" w:y="14552"/>
        <w:widowControl w:val="0"/>
        <w:autoSpaceDE w:val="0"/>
        <w:autoSpaceDN w:val="0"/>
        <w:spacing w:before="317" w:line="220" w:lineRule="exact"/>
        <w:ind w:left="4112"/>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0" type="#_x0000_t75" style="width:445.6pt;height:2.7pt;margin-top:53.5pt;margin-left:87.45pt;mso-position-horizontal-relative:page;mso-position-vertical-relative:page;position:absolute;z-index:-251227136">
            <v:imagedata r:id="rId44" o:title=""/>
          </v:shape>
        </w:pict>
      </w:r>
      <w:r>
        <w:rPr>
          <w:noProof/>
        </w:rPr>
        <w:pict>
          <v:shape id="_x0000_s1071" type="#_x0000_t75" style="width:57.1pt;height:15.7pt;margin-top:383.45pt;margin-left:308.55pt;mso-position-horizontal-relative:page;mso-position-vertical-relative:page;position:absolute;z-index:-251312128">
            <v:imagedata r:id="rId45" o:title=""/>
          </v:shape>
        </w:pict>
      </w:r>
      <w:r>
        <w:rPr>
          <w:noProof/>
        </w:rPr>
        <w:pict>
          <v:shape id="_x0000_s1072" type="#_x0000_t75" style="width:54.45pt;height:15.7pt;margin-top:403.85pt;margin-left:120.45pt;mso-position-horizontal-relative:page;mso-position-vertical-relative:page;position:absolute;z-index:-251443200">
            <v:imagedata r:id="rId46" o:title=""/>
          </v:shape>
        </w:pict>
      </w:r>
      <w:r>
        <w:rPr>
          <w:noProof/>
        </w:rPr>
        <w:pict>
          <v:shape id="_x0000_s1073" type="#_x0000_t75" style="width:156pt;height:15.7pt;margin-top:403.85pt;margin-left:376.6pt;mso-position-horizontal-relative:page;mso-position-vertical-relative:page;position:absolute;z-index:-251639808">
            <v:imagedata r:id="rId47" o:title=""/>
          </v:shape>
        </w:pict>
      </w:r>
    </w:p>
    <w:p>
      <w:pPr>
        <w:spacing w:line="0" w:lineRule="atLeast"/>
        <w:rPr>
          <w:rFonts w:ascii="Arial" w:eastAsiaTheme="minorEastAsia" w:hAnsiTheme="minorHAnsi" w:cstheme="minorBidi"/>
          <w:color w:val="FF0000"/>
          <w:sz w:val="2"/>
          <w:szCs w:val="22"/>
          <w:lang w:val="en-US" w:eastAsia="en-US" w:bidi="ar-SA"/>
        </w:rPr>
      </w:pPr>
      <w:bookmarkStart w:id="19" w:name="br1_18"/>
      <w:bookmarkEnd w:id="19"/>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934"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主要产品情况</w:t>
      </w:r>
    </w:p>
    <w:p>
      <w:pPr>
        <w:framePr w:w="1922"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620" w:y="2347"/>
        <w:widowControl w:val="0"/>
        <w:autoSpaceDE w:val="0"/>
        <w:autoSpaceDN w:val="0"/>
        <w:spacing w:line="211" w:lineRule="exact"/>
        <w:ind w:left="39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产品</w:t>
      </w:r>
    </w:p>
    <w:p>
      <w:pPr>
        <w:framePr w:w="1296" w:x="1620" w:y="23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农药原药及</w:t>
      </w:r>
    </w:p>
    <w:p>
      <w:pPr>
        <w:framePr w:w="1296" w:x="1620" w:y="234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中间体</w:t>
      </w:r>
    </w:p>
    <w:p>
      <w:pPr>
        <w:framePr w:w="1507" w:x="3080" w:y="23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所属细分行业</w:t>
      </w:r>
    </w:p>
    <w:p>
      <w:pPr>
        <w:framePr w:w="1718" w:x="4933" w:y="23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主要上游原材料</w:t>
      </w:r>
    </w:p>
    <w:p>
      <w:pPr>
        <w:framePr w:w="3870" w:x="6985" w:y="23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主要下游应用领域</w:t>
      </w:r>
      <w:r>
        <w:rPr>
          <w:rFonts w:eastAsiaTheme="minorEastAsia" w:hAnsiTheme="minorHAnsi" w:cstheme="minorBidi"/>
          <w:color w:val="000000"/>
          <w:spacing w:val="213"/>
          <w:sz w:val="21"/>
          <w:szCs w:val="22"/>
          <w:lang w:val="en-US" w:eastAsia="en-US" w:bidi="ar-SA"/>
        </w:rPr>
        <w:t xml:space="preserve"> </w:t>
      </w:r>
      <w:r>
        <w:rPr>
          <w:rFonts w:ascii="SimSun" w:hAnsi="SimSun" w:eastAsiaTheme="minorEastAsia" w:cs="SimSun"/>
          <w:color w:val="000000"/>
          <w:sz w:val="21"/>
          <w:szCs w:val="22"/>
          <w:lang w:val="en-US" w:eastAsia="en-US" w:bidi="ar-SA"/>
        </w:rPr>
        <w:t>价格主要影响因素</w:t>
      </w:r>
    </w:p>
    <w:p>
      <w:pPr>
        <w:framePr w:w="1085" w:x="3039" w:y="26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农药行业</w:t>
      </w:r>
    </w:p>
    <w:p>
      <w:pPr>
        <w:framePr w:w="3437" w:x="4599" w:y="26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氯代特戊酰氯、巴豆醛、</w:t>
      </w:r>
      <w:r>
        <w:rPr>
          <w:rFonts w:eastAsiaTheme="minorEastAsia" w:hAnsiTheme="minorHAnsi" w:cstheme="minorBidi"/>
          <w:color w:val="000000"/>
          <w:spacing w:val="63"/>
          <w:sz w:val="21"/>
          <w:szCs w:val="22"/>
          <w:lang w:val="en-US" w:eastAsia="en-US" w:bidi="ar-SA"/>
        </w:rPr>
        <w:t xml:space="preserve"> </w:t>
      </w:r>
      <w:r>
        <w:rPr>
          <w:rFonts w:ascii="SimSun" w:hAnsi="SimSun" w:eastAsiaTheme="minorEastAsia" w:cs="SimSun"/>
          <w:color w:val="000000"/>
          <w:sz w:val="21"/>
          <w:szCs w:val="22"/>
          <w:lang w:val="en-US" w:eastAsia="en-US" w:bidi="ar-SA"/>
        </w:rPr>
        <w:t>农药制剂</w:t>
      </w:r>
    </w:p>
    <w:p>
      <w:pPr>
        <w:framePr w:w="3437" w:x="4599" w:y="263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乙硫醇、吗啉等</w:t>
      </w:r>
    </w:p>
    <w:p>
      <w:pPr>
        <w:framePr w:w="1930" w:x="8913" w:y="26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原材料价格、市场</w:t>
      </w:r>
    </w:p>
    <w:p>
      <w:pPr>
        <w:framePr w:w="1930" w:x="8913" w:y="263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竞争情况</w:t>
      </w:r>
    </w:p>
    <w:p>
      <w:pPr>
        <w:framePr w:w="1085" w:x="1620" w:y="31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农药制剂</w:t>
      </w:r>
    </w:p>
    <w:p>
      <w:pPr>
        <w:framePr w:w="1085" w:x="3039" w:y="31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农药行业</w:t>
      </w:r>
    </w:p>
    <w:p>
      <w:pPr>
        <w:framePr w:w="3437" w:x="4599" w:y="31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烯草酮、咪草烟等农药</w:t>
      </w:r>
      <w:r>
        <w:rPr>
          <w:rFonts w:eastAsiaTheme="minorEastAsia" w:hAnsiTheme="minorHAnsi" w:cstheme="minorBidi"/>
          <w:color w:val="000000"/>
          <w:spacing w:val="201"/>
          <w:sz w:val="21"/>
          <w:szCs w:val="22"/>
          <w:lang w:val="en-US" w:eastAsia="en-US" w:bidi="ar-SA"/>
        </w:rPr>
        <w:t xml:space="preserve"> </w:t>
      </w:r>
      <w:r>
        <w:rPr>
          <w:rFonts w:ascii="SimSun" w:hAnsi="SimSun" w:eastAsiaTheme="minorEastAsia" w:cs="SimSun"/>
          <w:color w:val="000000"/>
          <w:sz w:val="21"/>
          <w:szCs w:val="22"/>
          <w:lang w:val="en-US" w:eastAsia="en-US" w:bidi="ar-SA"/>
        </w:rPr>
        <w:t>农业生产</w:t>
      </w:r>
    </w:p>
    <w:p>
      <w:pPr>
        <w:framePr w:w="3437" w:x="4599" w:y="318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原药</w:t>
      </w:r>
    </w:p>
    <w:p>
      <w:pPr>
        <w:framePr w:w="1930" w:x="8913" w:y="31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原材料价格、市场</w:t>
      </w:r>
    </w:p>
    <w:p>
      <w:pPr>
        <w:framePr w:w="1930" w:x="8913" w:y="318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竞争、品牌影响力</w:t>
      </w:r>
    </w:p>
    <w:p>
      <w:pPr>
        <w:framePr w:w="1510" w:x="1798" w:y="41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研发创新</w:t>
      </w:r>
    </w:p>
    <w:p>
      <w:pPr>
        <w:framePr w:w="4025" w:x="1798" w:y="46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25" w:x="1798" w:y="4660"/>
        <w:widowControl w:val="0"/>
        <w:autoSpaceDE w:val="0"/>
        <w:autoSpaceDN w:val="0"/>
        <w:spacing w:before="31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报告期内研发创新开展主要工作为：</w:t>
      </w:r>
    </w:p>
    <w:p>
      <w:pPr>
        <w:framePr w:w="8794" w:x="2218" w:y="57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、优化喹草酮和吡唑喹草酯工艺路线，降低了成本，优化了操作，完善废水处理工艺，满足</w:t>
      </w:r>
    </w:p>
    <w:p>
      <w:pPr>
        <w:framePr w:w="1930" w:x="1798" w:y="61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产业化和市场化。</w:t>
      </w:r>
    </w:p>
    <w:p>
      <w:pPr>
        <w:framePr w:w="5809" w:x="1798" w:y="665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、打通新化合物苯丙草酮工艺路线。</w:t>
      </w:r>
    </w:p>
    <w:p>
      <w:pPr>
        <w:framePr w:w="5809" w:x="1798" w:y="6655"/>
        <w:widowControl w:val="0"/>
        <w:autoSpaceDE w:val="0"/>
        <w:autoSpaceDN w:val="0"/>
        <w:spacing w:before="31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、与贵州大学签署新化合物创制研究开发合作协议。</w:t>
      </w:r>
    </w:p>
    <w:p>
      <w:pPr>
        <w:framePr w:w="5809" w:x="1798" w:y="6655"/>
        <w:widowControl w:val="0"/>
        <w:autoSpaceDE w:val="0"/>
        <w:autoSpaceDN w:val="0"/>
        <w:spacing w:before="31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、完善研发体系绩效考核办法，提高研发人员积极性。</w:t>
      </w:r>
    </w:p>
    <w:p>
      <w:pPr>
        <w:framePr w:w="5809" w:x="1798" w:y="665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生产工艺与流程</w:t>
      </w:r>
    </w:p>
    <w:p>
      <w:pPr>
        <w:framePr w:w="1922" w:x="1798" w:y="8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190" w:x="1798" w:y="90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、烯草酮</w:t>
      </w:r>
    </w:p>
    <w:p>
      <w:pPr>
        <w:framePr w:w="1085" w:x="2283" w:y="96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z w:val="21"/>
          <w:szCs w:val="22"/>
          <w:lang w:val="en-US" w:eastAsia="en-US" w:bidi="ar-SA"/>
        </w:rPr>
        <w:t>原料投料</w:t>
      </w:r>
    </w:p>
    <w:p>
      <w:pPr>
        <w:framePr w:w="1085" w:x="4038" w:y="96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z w:val="21"/>
          <w:szCs w:val="22"/>
          <w:lang w:val="en-US" w:eastAsia="en-US" w:bidi="ar-SA"/>
        </w:rPr>
        <w:t>合成反应</w:t>
      </w:r>
    </w:p>
    <w:p>
      <w:pPr>
        <w:framePr w:w="1085" w:x="4038" w:y="9699"/>
        <w:widowControl w:val="0"/>
        <w:autoSpaceDE w:val="0"/>
        <w:autoSpaceDN w:val="0"/>
        <w:spacing w:before="840" w:line="211" w:lineRule="exact"/>
        <w:ind w:left="247"/>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包装</w:t>
      </w:r>
    </w:p>
    <w:p>
      <w:pPr>
        <w:framePr w:w="698" w:x="6025" w:y="96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水洗</w:t>
      </w:r>
    </w:p>
    <w:p>
      <w:pPr>
        <w:framePr w:w="698" w:x="6025" w:y="9699"/>
        <w:widowControl w:val="0"/>
        <w:autoSpaceDE w:val="0"/>
        <w:autoSpaceDN w:val="0"/>
        <w:spacing w:before="828" w:line="211" w:lineRule="exact"/>
        <w:ind w:left="36"/>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过滤</w:t>
      </w:r>
    </w:p>
    <w:p>
      <w:pPr>
        <w:framePr w:w="1085" w:x="9362" w:y="9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z w:val="21"/>
          <w:szCs w:val="22"/>
          <w:lang w:val="en-US" w:eastAsia="en-US" w:bidi="ar-SA"/>
        </w:rPr>
        <w:t>真空蒸馏</w:t>
      </w:r>
    </w:p>
    <w:p>
      <w:pPr>
        <w:framePr w:w="1085" w:x="9362" w:y="9687"/>
        <w:widowControl w:val="0"/>
        <w:autoSpaceDE w:val="0"/>
        <w:autoSpaceDN w:val="0"/>
        <w:spacing w:before="816" w:line="211" w:lineRule="exact"/>
        <w:ind w:left="257"/>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合成</w:t>
      </w:r>
    </w:p>
    <w:p>
      <w:pPr>
        <w:framePr w:w="662" w:x="7794" w:y="97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倒料</w:t>
      </w:r>
    </w:p>
    <w:p>
      <w:pPr>
        <w:framePr w:w="1296" w:x="7444" w:y="107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4"/>
          <w:sz w:val="21"/>
          <w:szCs w:val="22"/>
          <w:lang w:val="en-US" w:eastAsia="en-US" w:bidi="ar-SA"/>
        </w:rPr>
        <w:t>水洗、精制</w:t>
      </w:r>
    </w:p>
    <w:p>
      <w:pPr>
        <w:framePr w:w="1632" w:x="1798" w:y="11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、咪草烟</w:t>
      </w:r>
    </w:p>
    <w:p>
      <w:pPr>
        <w:framePr w:w="1632" w:x="1798" w:y="11765"/>
        <w:widowControl w:val="0"/>
        <w:autoSpaceDE w:val="0"/>
        <w:autoSpaceDN w:val="0"/>
        <w:spacing w:before="303" w:line="211" w:lineRule="exact"/>
        <w:ind w:left="550"/>
        <w:rPr>
          <w:rFonts w:eastAsiaTheme="minorEastAsia" w:hAnsiTheme="minorHAnsi" w:cstheme="minorBidi"/>
          <w:color w:val="000000"/>
          <w:sz w:val="21"/>
          <w:szCs w:val="22"/>
          <w:lang w:val="en-US" w:eastAsia="en-US" w:bidi="ar-SA"/>
        </w:rPr>
      </w:pPr>
      <w:r>
        <w:rPr>
          <w:rFonts w:ascii="SimSun" w:hAnsi="SimSun" w:eastAsiaTheme="minorEastAsia" w:cs="SimSun"/>
          <w:color w:val="FFFFFF"/>
          <w:sz w:val="21"/>
          <w:szCs w:val="22"/>
          <w:lang w:val="en-US" w:eastAsia="en-US" w:bidi="ar-SA"/>
        </w:rPr>
        <w:t>原料投料</w:t>
      </w:r>
    </w:p>
    <w:p>
      <w:pPr>
        <w:framePr w:w="1085" w:x="4122" w:y="12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z w:val="21"/>
          <w:szCs w:val="22"/>
          <w:lang w:val="en-US" w:eastAsia="en-US" w:bidi="ar-SA"/>
        </w:rPr>
        <w:t>合成反应</w:t>
      </w:r>
    </w:p>
    <w:p>
      <w:pPr>
        <w:framePr w:w="663" w:x="6128" w:y="12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2"/>
          <w:sz w:val="21"/>
          <w:szCs w:val="22"/>
          <w:lang w:val="en-US" w:eastAsia="en-US" w:bidi="ar-SA"/>
        </w:rPr>
        <w:t>脱溶</w:t>
      </w:r>
    </w:p>
    <w:p>
      <w:pPr>
        <w:framePr w:w="662" w:x="7914" w:y="123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结晶</w:t>
      </w:r>
    </w:p>
    <w:p>
      <w:pPr>
        <w:framePr w:w="662" w:x="7914" w:y="12316"/>
        <w:widowControl w:val="0"/>
        <w:autoSpaceDE w:val="0"/>
        <w:autoSpaceDN w:val="0"/>
        <w:spacing w:before="7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包装</w:t>
      </w:r>
    </w:p>
    <w:p>
      <w:pPr>
        <w:framePr w:w="662" w:x="9712" w:y="12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离心</w:t>
      </w:r>
    </w:p>
    <w:p>
      <w:pPr>
        <w:framePr w:w="662" w:x="9758" w:y="133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烘干</w:t>
      </w:r>
    </w:p>
    <w:p>
      <w:pPr>
        <w:framePr w:w="1452" w:x="1798" w:y="136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、异噁草松</w:t>
      </w:r>
    </w:p>
    <w:p>
      <w:pPr>
        <w:framePr w:w="1452" w:x="1798" w:y="13672"/>
        <w:widowControl w:val="0"/>
        <w:autoSpaceDE w:val="0"/>
        <w:autoSpaceDN w:val="0"/>
        <w:spacing w:before="382" w:line="211" w:lineRule="exact"/>
        <w:ind w:left="578"/>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原料投</w:t>
      </w:r>
    </w:p>
    <w:p>
      <w:pPr>
        <w:framePr w:w="874" w:x="4105" w:y="142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酰化反</w:t>
      </w:r>
    </w:p>
    <w:p>
      <w:pPr>
        <w:framePr w:w="874" w:x="5857" w:y="142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合环反</w:t>
      </w:r>
    </w:p>
    <w:p>
      <w:pPr>
        <w:framePr w:w="874" w:x="7597" w:y="143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缩合反</w:t>
      </w:r>
    </w:p>
    <w:p>
      <w:pPr>
        <w:framePr w:w="874" w:x="9350" w:y="142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分层脱</w:t>
      </w:r>
    </w:p>
    <w:p>
      <w:pPr>
        <w:framePr w:w="662" w:x="5996" w:y="154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分装</w:t>
      </w:r>
    </w:p>
    <w:p>
      <w:pPr>
        <w:framePr w:w="662" w:x="7501" w:y="153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精品</w:t>
      </w:r>
    </w:p>
    <w:p>
      <w:pPr>
        <w:framePr w:w="662" w:x="9501" w:y="153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精制</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4" type="#_x0000_t75" style="width:445.6pt;height:2.7pt;margin-top:53.5pt;margin-left:87.45pt;mso-position-horizontal-relative:page;mso-position-vertical-relative:page;position:absolute;z-index:-251190272">
            <v:imagedata r:id="rId48" o:title=""/>
          </v:shape>
        </w:pict>
      </w:r>
      <w:r>
        <w:rPr>
          <w:noProof/>
        </w:rPr>
        <w:pict>
          <v:shape id="_x0000_s1075" type="#_x0000_t75" style="width:463.7pt;height:72.1pt;margin-top:114.4pt;margin-left:74.5pt;mso-position-horizontal-relative:page;mso-position-vertical-relative:page;position:absolute;z-index:-251226112">
            <v:imagedata r:id="rId49" o:title=""/>
          </v:shape>
        </w:pict>
      </w:r>
      <w:r>
        <w:rPr>
          <w:noProof/>
        </w:rPr>
        <w:pict>
          <v:shape id="_x0000_s1076" type="#_x0000_t75" style="width:416.6pt;height:77pt;margin-top:476.6pt;margin-left:105pt;mso-position-horizontal-relative:page;mso-position-vertical-relative:page;position:absolute;z-index:-251311104">
            <v:imagedata r:id="rId50" o:title=""/>
          </v:shape>
        </w:pict>
      </w:r>
      <w:r>
        <w:rPr>
          <w:noProof/>
        </w:rPr>
        <w:pict>
          <v:shape id="_x0000_s1077" type="#_x0000_t75" style="width:420.9pt;height:75.55pt;margin-top:606.8pt;margin-left:108pt;mso-position-horizontal-relative:page;mso-position-vertical-relative:page;position:absolute;z-index:-251442176">
            <v:imagedata r:id="rId51" o:title=""/>
          </v:shape>
        </w:pict>
      </w:r>
      <w:r>
        <w:rPr>
          <w:noProof/>
        </w:rPr>
        <w:pict>
          <v:shape id="_x0000_s1078" type="#_x0000_t75" style="width:410.5pt;height:81.7pt;margin-top:706.15pt;margin-left:104.8pt;mso-position-horizontal-relative:page;mso-position-vertical-relative:page;position:absolute;z-index:-251638784">
            <v:imagedata r:id="rId52" o:title=""/>
          </v:shape>
        </w:pict>
      </w:r>
    </w:p>
    <w:p>
      <w:pPr>
        <w:spacing w:line="0" w:lineRule="atLeast"/>
        <w:rPr>
          <w:rFonts w:ascii="Arial" w:eastAsiaTheme="minorEastAsia" w:hAnsiTheme="minorHAnsi" w:cstheme="minorBidi"/>
          <w:color w:val="FF0000"/>
          <w:sz w:val="2"/>
          <w:szCs w:val="22"/>
          <w:lang w:val="en-US" w:eastAsia="en-US" w:bidi="ar-SA"/>
        </w:rPr>
      </w:pPr>
      <w:bookmarkStart w:id="20" w:name="br1_19"/>
      <w:bookmarkEnd w:id="20"/>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190" w:x="1798" w:y="18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、灭草烟</w:t>
      </w:r>
    </w:p>
    <w:p>
      <w:pPr>
        <w:framePr w:w="1085" w:x="2040" w:y="2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z w:val="21"/>
          <w:szCs w:val="22"/>
          <w:lang w:val="en-US" w:eastAsia="en-US" w:bidi="ar-SA"/>
        </w:rPr>
        <w:t>原料投料</w:t>
      </w:r>
    </w:p>
    <w:p>
      <w:pPr>
        <w:framePr w:w="1085" w:x="3882" w:y="25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z w:val="21"/>
          <w:szCs w:val="22"/>
          <w:lang w:val="en-US" w:eastAsia="en-US" w:bidi="ar-SA"/>
        </w:rPr>
        <w:t>开环反应</w:t>
      </w:r>
    </w:p>
    <w:p>
      <w:pPr>
        <w:framePr w:w="1085" w:x="3882" w:y="2582"/>
        <w:widowControl w:val="0"/>
        <w:autoSpaceDE w:val="0"/>
        <w:autoSpaceDN w:val="0"/>
        <w:spacing w:before="941" w:line="211" w:lineRule="exact"/>
        <w:ind w:left="247"/>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包装</w:t>
      </w:r>
    </w:p>
    <w:p>
      <w:pPr>
        <w:framePr w:w="698" w:x="5955" w:y="25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水洗</w:t>
      </w:r>
    </w:p>
    <w:p>
      <w:pPr>
        <w:framePr w:w="698" w:x="5955" w:y="2582"/>
        <w:widowControl w:val="0"/>
        <w:autoSpaceDE w:val="0"/>
        <w:autoSpaceDN w:val="0"/>
        <w:spacing w:before="929" w:line="211" w:lineRule="exact"/>
        <w:ind w:left="36"/>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过滤</w:t>
      </w:r>
    </w:p>
    <w:p>
      <w:pPr>
        <w:framePr w:w="1085" w:x="9460" w:y="25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z w:val="21"/>
          <w:szCs w:val="22"/>
          <w:lang w:val="en-US" w:eastAsia="en-US" w:bidi="ar-SA"/>
        </w:rPr>
        <w:t>真空蒸馏</w:t>
      </w:r>
    </w:p>
    <w:p>
      <w:pPr>
        <w:framePr w:w="1085" w:x="9460" w:y="2570"/>
        <w:widowControl w:val="0"/>
        <w:autoSpaceDE w:val="0"/>
        <w:autoSpaceDN w:val="0"/>
        <w:spacing w:before="907" w:line="211" w:lineRule="exact"/>
        <w:ind w:left="259"/>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合成</w:t>
      </w:r>
    </w:p>
    <w:p>
      <w:pPr>
        <w:framePr w:w="662" w:x="7806" w:y="25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倒料</w:t>
      </w:r>
    </w:p>
    <w:p>
      <w:pPr>
        <w:framePr w:w="1140" w:x="7569" w:y="370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FFFFFF"/>
          <w:spacing w:val="-1"/>
          <w:sz w:val="18"/>
          <w:szCs w:val="22"/>
          <w:lang w:val="en-US" w:eastAsia="en-US" w:bidi="ar-SA"/>
        </w:rPr>
        <w:t>水洗、精制</w:t>
      </w:r>
    </w:p>
    <w:p>
      <w:pPr>
        <w:framePr w:w="1402" w:x="1798" w:y="42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、烯酰吗啉</w:t>
      </w:r>
    </w:p>
    <w:p>
      <w:pPr>
        <w:framePr w:w="960" w:x="2511" w:y="505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FFFFFF"/>
          <w:sz w:val="18"/>
          <w:szCs w:val="22"/>
          <w:lang w:val="en-US" w:eastAsia="en-US" w:bidi="ar-SA"/>
        </w:rPr>
        <w:t>原料投料</w:t>
      </w:r>
    </w:p>
    <w:p>
      <w:pPr>
        <w:framePr w:w="960" w:x="4148" w:y="508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FFFFFF"/>
          <w:sz w:val="18"/>
          <w:szCs w:val="22"/>
          <w:lang w:val="en-US" w:eastAsia="en-US" w:bidi="ar-SA"/>
        </w:rPr>
        <w:t>合成反应</w:t>
      </w:r>
    </w:p>
    <w:p>
      <w:pPr>
        <w:framePr w:w="662" w:x="5975" w:y="50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脱溶</w:t>
      </w:r>
    </w:p>
    <w:p>
      <w:pPr>
        <w:framePr w:w="662" w:x="9280" w:y="50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离心</w:t>
      </w:r>
    </w:p>
    <w:p>
      <w:pPr>
        <w:framePr w:w="662" w:x="7624" w:y="50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结晶</w:t>
      </w:r>
    </w:p>
    <w:p>
      <w:pPr>
        <w:framePr w:w="662" w:x="7624" w:y="5095"/>
        <w:widowControl w:val="0"/>
        <w:autoSpaceDE w:val="0"/>
        <w:autoSpaceDN w:val="0"/>
        <w:spacing w:before="7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包装</w:t>
      </w:r>
    </w:p>
    <w:p>
      <w:pPr>
        <w:framePr w:w="662" w:x="9324" w:y="6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FFFFFF"/>
          <w:spacing w:val="1"/>
          <w:sz w:val="21"/>
          <w:szCs w:val="22"/>
          <w:lang w:val="en-US" w:eastAsia="en-US" w:bidi="ar-SA"/>
        </w:rPr>
        <w:t>烘干</w:t>
      </w:r>
    </w:p>
    <w:p>
      <w:pPr>
        <w:framePr w:w="2249" w:x="1798" w:y="67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产能与开工情况</w:t>
      </w:r>
    </w:p>
    <w:p>
      <w:pPr>
        <w:framePr w:w="1922" w:x="1798" w:y="69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63" w:x="8109" w:y="72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单位：万元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296" w:x="1901" w:y="75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主要厂区或</w:t>
      </w:r>
    </w:p>
    <w:p>
      <w:pPr>
        <w:framePr w:w="1296" w:x="4674" w:y="75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产能利用率</w:t>
      </w:r>
    </w:p>
    <w:p>
      <w:pPr>
        <w:framePr w:w="1296" w:x="4674" w:y="7539"/>
        <w:widowControl w:val="0"/>
        <w:autoSpaceDE w:val="0"/>
        <w:autoSpaceDN w:val="0"/>
        <w:spacing w:before="62" w:line="211" w:lineRule="exact"/>
        <w:ind w:left="26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718" w:x="7655" w:y="75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在建产能已投资</w:t>
      </w:r>
    </w:p>
    <w:p>
      <w:pPr>
        <w:framePr w:w="1296" w:x="9499" w:y="75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在建产能预</w:t>
      </w:r>
    </w:p>
    <w:p>
      <w:pPr>
        <w:framePr w:w="1296" w:x="9499" w:y="753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计完工时间</w:t>
      </w:r>
    </w:p>
    <w:p>
      <w:pPr>
        <w:framePr w:w="1085" w:x="3389" w:y="76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设计产能</w:t>
      </w:r>
    </w:p>
    <w:p>
      <w:pPr>
        <w:framePr w:w="1085" w:x="6287" w:y="76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在建产能</w:t>
      </w:r>
    </w:p>
    <w:p>
      <w:pPr>
        <w:framePr w:w="1080" w:x="1798" w:y="7812"/>
        <w:widowControl w:val="0"/>
        <w:autoSpaceDE w:val="0"/>
        <w:autoSpaceDN w:val="0"/>
        <w:spacing w:line="211" w:lineRule="exact"/>
        <w:ind w:left="41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0" w:x="1798" w:y="781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除草剂</w:t>
      </w:r>
    </w:p>
    <w:p>
      <w:pPr>
        <w:framePr w:w="451" w:x="8286" w:y="78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1030" w:x="3272" w:y="80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9,100</w:t>
      </w:r>
      <w:r>
        <w:rPr>
          <w:rFonts w:ascii="SimSun" w:hAnsi="SimSun" w:eastAsiaTheme="minorEastAsia" w:cs="SimSun"/>
          <w:color w:val="000000"/>
          <w:sz w:val="21"/>
          <w:szCs w:val="22"/>
          <w:lang w:val="en-US" w:eastAsia="en-US" w:bidi="ar-SA"/>
        </w:rPr>
        <w:t>吨</w:t>
      </w:r>
    </w:p>
    <w:p>
      <w:pPr>
        <w:framePr w:w="1030" w:x="3272" w:y="8093"/>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2,500</w:t>
      </w:r>
      <w:r>
        <w:rPr>
          <w:rFonts w:ascii="SimSun" w:hAnsi="SimSun" w:eastAsiaTheme="minorEastAsia" w:cs="SimSun"/>
          <w:color w:val="000000"/>
          <w:sz w:val="21"/>
          <w:szCs w:val="22"/>
          <w:lang w:val="en-US" w:eastAsia="en-US" w:bidi="ar-SA"/>
        </w:rPr>
        <w:t>吨</w:t>
      </w:r>
    </w:p>
    <w:p>
      <w:pPr>
        <w:framePr w:w="2247" w:x="5310" w:y="80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89.28</w:t>
      </w:r>
      <w:r>
        <w:rPr>
          <w:rFonts w:ascii="SimSun"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z w:val="21"/>
          <w:szCs w:val="22"/>
          <w:lang w:val="en-US" w:eastAsia="en-US" w:bidi="ar-SA"/>
        </w:rPr>
        <w:t>吨</w:t>
      </w:r>
    </w:p>
    <w:p>
      <w:pPr>
        <w:framePr w:w="2247" w:x="5310" w:y="8093"/>
        <w:widowControl w:val="0"/>
        <w:autoSpaceDE w:val="0"/>
        <w:autoSpaceDN w:val="0"/>
        <w:spacing w:before="62" w:line="211" w:lineRule="exact"/>
        <w:ind w:left="74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烯草酮原药</w:t>
      </w:r>
    </w:p>
    <w:p>
      <w:pPr>
        <w:framePr w:w="2031" w:x="8365" w:y="80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5,883.69</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2021.12</w:t>
      </w:r>
    </w:p>
    <w:p>
      <w:pPr>
        <w:framePr w:w="874" w:x="1798" w:y="86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杀菌剂</w:t>
      </w:r>
    </w:p>
    <w:p>
      <w:pPr>
        <w:framePr w:w="768" w:x="5310" w:y="86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52.06</w:t>
      </w:r>
    </w:p>
    <w:p>
      <w:pPr>
        <w:framePr w:w="2141" w:x="1798" w:y="90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生产能力的增减情况</w:t>
      </w:r>
    </w:p>
    <w:p>
      <w:pPr>
        <w:framePr w:w="2141" w:x="1798" w:y="90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8" w:x="1798" w:y="101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产品线及产能结构优化的调整情况</w:t>
      </w:r>
    </w:p>
    <w:p>
      <w:pPr>
        <w:framePr w:w="3408" w:x="1798" w:y="10107"/>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18" w:x="1798" w:y="11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非正常停产情况</w:t>
      </w:r>
    </w:p>
    <w:p>
      <w:pPr>
        <w:framePr w:w="1922" w:x="1798" w:y="116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49" w:x="2218" w:y="1222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日，公司全资子公司辽宁先达烯草酮车间发生爆炸事故，造成</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人死亡、</w:t>
      </w:r>
      <w:r>
        <w:rPr>
          <w:rFonts w:ascii="SimSun" w:eastAsiaTheme="minorEastAsia" w:hAnsiTheme="minorHAnsi" w:cstheme="minorBidi"/>
          <w:color w:val="000000"/>
          <w:spacing w:val="1"/>
          <w:sz w:val="21"/>
          <w:szCs w:val="22"/>
          <w:lang w:val="en-US" w:eastAsia="en-US" w:bidi="ar-SA"/>
        </w:rPr>
        <w:t>10</w:t>
      </w:r>
    </w:p>
    <w:p>
      <w:pPr>
        <w:framePr w:w="8054" w:x="1798" w:y="126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人受伤，辽宁先达停产整改。报告期内辽宁先达已通过安全整改验收，恢复试生产。</w:t>
      </w:r>
    </w:p>
    <w:p>
      <w:pPr>
        <w:framePr w:w="346" w:x="1798" w:y="131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1296" w:x="2223" w:y="13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原材料采购</w:t>
      </w:r>
    </w:p>
    <w:p>
      <w:pPr>
        <w:framePr w:w="2777" w:x="1798" w:y="136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主要原材料的基本情况</w:t>
      </w:r>
    </w:p>
    <w:p>
      <w:pPr>
        <w:framePr w:w="1922" w:x="1798" w:y="142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450" w:x="6481" w:y="14500"/>
        <w:widowControl w:val="0"/>
        <w:autoSpaceDE w:val="0"/>
        <w:autoSpaceDN w:val="0"/>
        <w:spacing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价格同比变</w:t>
      </w:r>
    </w:p>
    <w:p>
      <w:pPr>
        <w:framePr w:w="1450" w:x="6481" w:y="1450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动比率（</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1450" w:x="6481" w:y="14500"/>
        <w:widowControl w:val="0"/>
        <w:autoSpaceDE w:val="0"/>
        <w:autoSpaceDN w:val="0"/>
        <w:spacing w:before="72" w:line="211" w:lineRule="exact"/>
        <w:ind w:left="78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7.22</w:t>
      </w:r>
    </w:p>
    <w:p>
      <w:pPr>
        <w:framePr w:w="1296" w:x="2141" w:y="146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主要原材料</w:t>
      </w:r>
    </w:p>
    <w:p>
      <w:pPr>
        <w:framePr w:w="1296" w:x="2141" w:y="14634"/>
        <w:widowControl w:val="0"/>
        <w:autoSpaceDE w:val="0"/>
        <w:autoSpaceDN w:val="0"/>
        <w:spacing w:before="209"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氯代胺</w:t>
      </w:r>
    </w:p>
    <w:p>
      <w:pPr>
        <w:framePr w:w="1085" w:x="3827" w:y="146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采购模式</w:t>
      </w:r>
    </w:p>
    <w:p>
      <w:pPr>
        <w:framePr w:w="1085" w:x="3827" w:y="14634"/>
        <w:widowControl w:val="0"/>
        <w:autoSpaceDE w:val="0"/>
        <w:autoSpaceDN w:val="0"/>
        <w:spacing w:before="209"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1085" w:x="5166" w:y="146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结算方式</w:t>
      </w:r>
    </w:p>
    <w:p>
      <w:pPr>
        <w:framePr w:w="874" w:x="8217" w:y="146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采购量</w:t>
      </w:r>
    </w:p>
    <w:p>
      <w:pPr>
        <w:framePr w:w="874" w:x="9688" w:y="146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耗用量</w:t>
      </w:r>
    </w:p>
    <w:p>
      <w:pPr>
        <w:framePr w:w="1296" w:x="4957" w:y="150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085" w:x="8322" w:y="150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1,460.26</w:t>
      </w:r>
    </w:p>
    <w:p>
      <w:pPr>
        <w:framePr w:w="1085" w:x="9792" w:y="150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1,220.00</w:t>
      </w:r>
    </w:p>
    <w:p>
      <w:pPr>
        <w:framePr w:w="847" w:x="5910" w:y="15609"/>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9" type="#_x0000_t75" style="width:445.6pt;height:2.7pt;margin-top:53.5pt;margin-left:87.45pt;mso-position-horizontal-relative:page;mso-position-vertical-relative:page;position:absolute;z-index:-251189248">
            <v:imagedata r:id="rId53" o:title=""/>
          </v:shape>
        </w:pict>
      </w:r>
      <w:r>
        <w:rPr>
          <w:noProof/>
        </w:rPr>
        <w:pict>
          <v:shape id="_x0000_s1080" type="#_x0000_t75" style="width:454.95pt;height:72.1pt;margin-top:373.95pt;margin-left:83.25pt;mso-position-horizontal-relative:page;mso-position-vertical-relative:page;position:absolute;z-index:-251225088">
            <v:imagedata r:id="rId54" o:title=""/>
          </v:shape>
        </w:pict>
      </w:r>
      <w:r>
        <w:rPr>
          <w:noProof/>
        </w:rPr>
        <w:pict>
          <v:shape id="_x0000_s1081" type="#_x0000_t75" style="width:454.95pt;height:44.35pt;margin-top:722pt;margin-left:83.25pt;mso-position-horizontal-relative:page;mso-position-vertical-relative:page;position:absolute;z-index:-251310080">
            <v:imagedata r:id="rId55" o:title=""/>
          </v:shape>
        </w:pict>
      </w:r>
      <w:r>
        <w:rPr>
          <w:noProof/>
        </w:rPr>
        <w:pict>
          <v:shape id="_x0000_s1082" type="#_x0000_t75" style="width:436.5pt;height:83.7pt;margin-top:120.8pt;margin-left:91.6pt;mso-position-horizontal-relative:page;mso-position-vertical-relative:page;position:absolute;z-index:-251441152">
            <v:imagedata r:id="rId56" o:title=""/>
          </v:shape>
        </w:pict>
      </w:r>
      <w:r>
        <w:rPr>
          <w:noProof/>
        </w:rPr>
        <w:pict>
          <v:shape id="_x0000_s1083" type="#_x0000_t75" style="width:388.4pt;height:73.3pt;margin-top:245.95pt;margin-left:116.4pt;mso-position-horizontal-relative:page;mso-position-vertical-relative:page;position:absolute;z-index:-251637760">
            <v:imagedata r:id="rId57" o:title=""/>
          </v:shape>
        </w:pict>
      </w:r>
    </w:p>
    <w:p>
      <w:pPr>
        <w:spacing w:line="0" w:lineRule="atLeast"/>
        <w:rPr>
          <w:rFonts w:ascii="Arial" w:eastAsiaTheme="minorEastAsia" w:hAnsiTheme="minorHAnsi" w:cstheme="minorBidi"/>
          <w:color w:val="FF0000"/>
          <w:sz w:val="2"/>
          <w:szCs w:val="22"/>
          <w:lang w:val="en-US" w:eastAsia="en-US" w:bidi="ar-SA"/>
        </w:rPr>
      </w:pPr>
      <w:bookmarkStart w:id="21" w:name="br1_20"/>
      <w:bookmarkEnd w:id="21"/>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07" w:x="2036" w:y="1547"/>
        <w:widowControl w:val="0"/>
        <w:autoSpaceDE w:val="0"/>
        <w:autoSpaceDN w:val="0"/>
        <w:spacing w:line="211" w:lineRule="exact"/>
        <w:ind w:left="31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巴豆醛</w:t>
      </w:r>
    </w:p>
    <w:p>
      <w:pPr>
        <w:framePr w:w="1507" w:x="2036"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氯代特戊酰氯</w:t>
      </w:r>
    </w:p>
    <w:p>
      <w:pPr>
        <w:framePr w:w="1507" w:x="2036" w:y="154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邻氯氯苄</w:t>
      </w:r>
    </w:p>
    <w:p>
      <w:pPr>
        <w:framePr w:w="662" w:x="403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662" w:x="403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比价</w:t>
      </w:r>
    </w:p>
    <w:p>
      <w:pPr>
        <w:framePr w:w="1296" w:x="4957"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874" w:x="7057" w:y="154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874" w:x="7057"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-2.70</w:t>
      </w:r>
    </w:p>
    <w:p>
      <w:pPr>
        <w:framePr w:w="874" w:x="7057" w:y="15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14.23</w:t>
      </w:r>
    </w:p>
    <w:p>
      <w:pPr>
        <w:framePr w:w="874" w:x="7057"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-33.86</w:t>
      </w:r>
    </w:p>
    <w:p>
      <w:pPr>
        <w:framePr w:w="874" w:x="7057"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-20.86</w:t>
      </w:r>
    </w:p>
    <w:p>
      <w:pPr>
        <w:framePr w:w="874" w:x="7057" w:y="15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-9.54</w:t>
      </w:r>
    </w:p>
    <w:p>
      <w:pPr>
        <w:framePr w:w="874" w:x="7057" w:y="1547"/>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0.93</w:t>
      </w:r>
    </w:p>
    <w:p>
      <w:pPr>
        <w:framePr w:w="1085" w:x="8322" w:y="1547"/>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482.52</w:t>
      </w:r>
    </w:p>
    <w:p>
      <w:pPr>
        <w:framePr w:w="1085" w:x="8322"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2,510.37</w:t>
      </w:r>
    </w:p>
    <w:p>
      <w:pPr>
        <w:framePr w:w="1085" w:x="8322"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2,347.50</w:t>
      </w:r>
    </w:p>
    <w:p>
      <w:pPr>
        <w:framePr w:w="1085" w:x="8322"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870.00</w:t>
      </w:r>
    </w:p>
    <w:p>
      <w:pPr>
        <w:framePr w:w="1085" w:x="9792" w:y="1547"/>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547.63</w:t>
      </w:r>
    </w:p>
    <w:p>
      <w:pPr>
        <w:framePr w:w="1085" w:x="9792"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2,613.17</w:t>
      </w:r>
    </w:p>
    <w:p>
      <w:pPr>
        <w:framePr w:w="1085" w:x="9792"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2,605.26</w:t>
      </w:r>
    </w:p>
    <w:p>
      <w:pPr>
        <w:framePr w:w="1085" w:x="9792"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845.38</w:t>
      </w:r>
    </w:p>
    <w:p>
      <w:pPr>
        <w:framePr w:w="1085" w:x="9792" w:y="154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544.00</w:t>
      </w:r>
    </w:p>
    <w:p>
      <w:pPr>
        <w:framePr w:w="1085" w:x="9792"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382.45</w:t>
      </w:r>
    </w:p>
    <w:p>
      <w:pPr>
        <w:framePr w:w="1085" w:x="9792" w:y="154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249.58</w:t>
      </w:r>
    </w:p>
    <w:p>
      <w:pPr>
        <w:framePr w:w="1085" w:x="9792"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315.91</w:t>
      </w:r>
    </w:p>
    <w:p>
      <w:pPr>
        <w:framePr w:w="1085" w:x="9792"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830.75</w:t>
      </w:r>
    </w:p>
    <w:p>
      <w:pPr>
        <w:framePr w:w="1085" w:x="9792" w:y="154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497.00</w:t>
      </w:r>
    </w:p>
    <w:p>
      <w:pPr>
        <w:framePr w:w="1085" w:x="9792"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950.51</w:t>
      </w:r>
    </w:p>
    <w:p>
      <w:pPr>
        <w:framePr w:w="1085" w:x="9792"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391.25</w:t>
      </w:r>
    </w:p>
    <w:p>
      <w:pPr>
        <w:framePr w:w="1085" w:x="9792" w:y="154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704.08</w:t>
      </w:r>
    </w:p>
    <w:p>
      <w:pPr>
        <w:framePr w:w="1085" w:x="9792" w:y="1547"/>
        <w:widowControl w:val="0"/>
        <w:autoSpaceDE w:val="0"/>
        <w:autoSpaceDN w:val="0"/>
        <w:spacing w:before="73"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540.91</w:t>
      </w:r>
    </w:p>
    <w:p>
      <w:pPr>
        <w:framePr w:w="1085" w:x="9792" w:y="15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1062.30</w:t>
      </w:r>
    </w:p>
    <w:p>
      <w:pPr>
        <w:framePr w:w="1296" w:x="4957"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296" w:x="495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电汇、承兑</w:t>
      </w:r>
    </w:p>
    <w:p>
      <w:pPr>
        <w:framePr w:w="1085" w:x="2247"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盐酸羟胺</w:t>
      </w:r>
    </w:p>
    <w:p>
      <w:pPr>
        <w:framePr w:w="1296" w:x="2141"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氨基磺酸铵</w:t>
      </w:r>
    </w:p>
    <w:p>
      <w:pPr>
        <w:framePr w:w="1296" w:x="2141" w:y="26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草酸二乙酯</w:t>
      </w:r>
    </w:p>
    <w:p>
      <w:pPr>
        <w:framePr w:w="1296" w:x="2141" w:y="2676"/>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乙醇钠</w:t>
      </w:r>
    </w:p>
    <w:p>
      <w:pPr>
        <w:framePr w:w="874" w:x="8531"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544.01</w:t>
      </w:r>
    </w:p>
    <w:p>
      <w:pPr>
        <w:framePr w:w="874" w:x="8531"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382.45</w:t>
      </w:r>
    </w:p>
    <w:p>
      <w:pPr>
        <w:framePr w:w="874" w:x="8531"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249.58</w:t>
      </w:r>
    </w:p>
    <w:p>
      <w:pPr>
        <w:framePr w:w="1718" w:x="1930" w:y="3523"/>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氯乙酸乙酯</w:t>
      </w:r>
    </w:p>
    <w:p>
      <w:pPr>
        <w:framePr w:w="1718" w:x="1930" w:y="3523"/>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甲基异丙基酮</w:t>
      </w:r>
    </w:p>
    <w:p>
      <w:pPr>
        <w:framePr w:w="1718" w:x="1930" w:y="352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2,3-</w:t>
      </w:r>
      <w:r>
        <w:rPr>
          <w:rFonts w:ascii="SimSun" w:hAnsi="SimSun" w:eastAsiaTheme="minorEastAsia" w:cs="SimSun"/>
          <w:color w:val="000000"/>
          <w:sz w:val="21"/>
          <w:szCs w:val="22"/>
          <w:lang w:val="en-US" w:eastAsia="en-US" w:bidi="ar-SA"/>
        </w:rPr>
        <w:t>吡啶二甲酸</w:t>
      </w:r>
    </w:p>
    <w:p>
      <w:pPr>
        <w:framePr w:w="1718" w:x="1930" w:y="3523"/>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对氯苯甲酰氯</w:t>
      </w:r>
    </w:p>
    <w:p>
      <w:pPr>
        <w:framePr w:w="1718" w:x="1930" w:y="3523"/>
        <w:widowControl w:val="0"/>
        <w:autoSpaceDE w:val="0"/>
        <w:autoSpaceDN w:val="0"/>
        <w:spacing w:before="72" w:line="211" w:lineRule="exact"/>
        <w:ind w:left="52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吗啉</w:t>
      </w:r>
    </w:p>
    <w:p>
      <w:pPr>
        <w:framePr w:w="768" w:x="7163"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-0.33</w:t>
      </w:r>
    </w:p>
    <w:p>
      <w:pPr>
        <w:framePr w:w="768" w:x="7163" w:y="352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43.93</w:t>
      </w:r>
    </w:p>
    <w:p>
      <w:pPr>
        <w:framePr w:w="768" w:x="7163" w:y="352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w:t>
      </w:r>
    </w:p>
    <w:p>
      <w:pPr>
        <w:framePr w:w="874" w:x="8531"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315.91</w:t>
      </w:r>
    </w:p>
    <w:p>
      <w:pPr>
        <w:framePr w:w="1085" w:x="8322" w:y="38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1,031.83</w:t>
      </w:r>
    </w:p>
    <w:p>
      <w:pPr>
        <w:framePr w:w="1085" w:x="8322" w:y="3806"/>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465.00</w:t>
      </w:r>
    </w:p>
    <w:p>
      <w:pPr>
        <w:framePr w:w="662" w:x="7269" w:y="43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9.34</w:t>
      </w:r>
    </w:p>
    <w:p>
      <w:pPr>
        <w:framePr w:w="1085" w:x="8322" w:y="43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1,015.38</w:t>
      </w:r>
    </w:p>
    <w:p>
      <w:pPr>
        <w:framePr w:w="1085" w:x="8322" w:y="437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345.95</w:t>
      </w:r>
    </w:p>
    <w:p>
      <w:pPr>
        <w:framePr w:w="768" w:x="7163" w:y="46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-6.08</w:t>
      </w:r>
    </w:p>
    <w:p>
      <w:pPr>
        <w:framePr w:w="768" w:x="7163" w:y="465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3.24</w:t>
      </w:r>
    </w:p>
    <w:p>
      <w:pPr>
        <w:framePr w:w="1296" w:x="2141" w:y="49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邻苯二甲醚</w:t>
      </w:r>
    </w:p>
    <w:p>
      <w:pPr>
        <w:framePr w:w="1296" w:x="2141" w:y="4934"/>
        <w:widowControl w:val="0"/>
        <w:autoSpaceDE w:val="0"/>
        <w:autoSpaceDN w:val="0"/>
        <w:spacing w:before="73"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叔丁醇钠</w:t>
      </w:r>
    </w:p>
    <w:p>
      <w:pPr>
        <w:framePr w:w="874" w:x="8531" w:y="49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584.00</w:t>
      </w:r>
    </w:p>
    <w:p>
      <w:pPr>
        <w:framePr w:w="874" w:x="7057" w:y="5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-19.70</w:t>
      </w:r>
    </w:p>
    <w:p>
      <w:pPr>
        <w:framePr w:w="874" w:x="7057" w:y="521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-11.01</w:t>
      </w:r>
    </w:p>
    <w:p>
      <w:pPr>
        <w:framePr w:w="874" w:x="8531" w:y="5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467.98</w:t>
      </w:r>
    </w:p>
    <w:p>
      <w:pPr>
        <w:framePr w:w="1296" w:x="2141" w:y="55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液体甲醇钠</w:t>
      </w:r>
    </w:p>
    <w:p>
      <w:pPr>
        <w:framePr w:w="1085" w:x="8322" w:y="55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1,427.16</w:t>
      </w:r>
    </w:p>
    <w:p>
      <w:pPr>
        <w:framePr w:w="7104" w:x="1798" w:y="59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主要原材料价格变化对公司营业成本的影响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营业成本与价格同方向变动。</w:t>
      </w:r>
    </w:p>
    <w:p>
      <w:pPr>
        <w:framePr w:w="7104" w:x="1798" w:y="590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主要能源的基本情况</w:t>
      </w:r>
    </w:p>
    <w:p>
      <w:pPr>
        <w:framePr w:w="1817" w:x="1798" w:y="69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8" w:x="1798" w:y="74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原材料价格波动风险应对措施</w:t>
      </w:r>
    </w:p>
    <w:p>
      <w:pPr>
        <w:framePr w:w="3408" w:x="1798" w:y="748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持有衍生品等金融产品的主要情况</w:t>
      </w:r>
    </w:p>
    <w:p>
      <w:pPr>
        <w:framePr w:w="3408" w:x="1798" w:y="748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253" w:x="1798" w:y="90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采用阶段性储备等其他方式的基本情况</w:t>
      </w:r>
    </w:p>
    <w:p>
      <w:pPr>
        <w:framePr w:w="4253" w:x="1798" w:y="907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013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公司根据市场行情进行预测，对于核心原材料进行有计划储备。主要原材料一般与主要供应</w:t>
      </w:r>
    </w:p>
    <w:p>
      <w:pPr>
        <w:framePr w:w="9110" w:x="1798" w:y="101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商签订长年采购合同，对价格和数量进行约定。从而在一定程度上减少因原材料价格变动给产品</w:t>
      </w:r>
    </w:p>
    <w:p>
      <w:pPr>
        <w:framePr w:w="9110" w:x="1798" w:y="101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成本所带来的风险。</w:t>
      </w:r>
    </w:p>
    <w:p>
      <w:pPr>
        <w:framePr w:w="346" w:x="1798" w:y="114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1507" w:x="2223" w:y="114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产品销售情况</w:t>
      </w:r>
    </w:p>
    <w:p>
      <w:pPr>
        <w:framePr w:w="4464" w:x="1798" w:y="118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按细分行业划分的公司主营业务基本情况</w:t>
      </w:r>
    </w:p>
    <w:p>
      <w:pPr>
        <w:framePr w:w="1922" w:x="1798" w:y="120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63" w:x="8109" w:y="1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单位：万元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3353" w:x="6059" w:y="12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r>
        <w:rPr>
          <w:rFonts w:eastAsiaTheme="minorEastAsia" w:hAnsiTheme="minorHAnsi" w:cstheme="minorBidi"/>
          <w:color w:val="000000"/>
          <w:spacing w:val="241"/>
          <w:sz w:val="21"/>
          <w:szCs w:val="22"/>
          <w:lang w:val="en-US" w:eastAsia="en-US" w:bidi="ar-SA"/>
        </w:rPr>
        <w:t xml:space="preserve"> </w:t>
      </w:r>
      <w:r>
        <w:rPr>
          <w:rFonts w:ascii="SimSun" w:hAnsi="SimSun" w:eastAsiaTheme="minorEastAsia" w:cs="SimSun"/>
          <w:color w:val="000000"/>
          <w:sz w:val="21"/>
          <w:szCs w:val="22"/>
          <w:lang w:val="en-US" w:eastAsia="en-US" w:bidi="ar-SA"/>
        </w:rPr>
        <w:t>营业成本</w:t>
      </w:r>
      <w:r>
        <w:rPr>
          <w:rFonts w:eastAsiaTheme="minorEastAsia" w:hAnsiTheme="minorHAnsi" w:cstheme="minorBidi"/>
          <w:color w:val="000000"/>
          <w:spacing w:val="241"/>
          <w:sz w:val="21"/>
          <w:szCs w:val="22"/>
          <w:lang w:val="en-US" w:eastAsia="en-US" w:bidi="ar-SA"/>
        </w:rPr>
        <w:t xml:space="preserve"> </w:t>
      </w:r>
      <w:r>
        <w:rPr>
          <w:rFonts w:ascii="SimSun" w:hAnsi="SimSun" w:eastAsiaTheme="minorEastAsia" w:cs="SimSun"/>
          <w:color w:val="000000"/>
          <w:sz w:val="21"/>
          <w:szCs w:val="22"/>
          <w:lang w:val="en-US" w:eastAsia="en-US" w:bidi="ar-SA"/>
        </w:rPr>
        <w:t>毛利率比</w:t>
      </w:r>
    </w:p>
    <w:p>
      <w:pPr>
        <w:framePr w:w="3353" w:x="6059" w:y="1263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比上年增</w:t>
      </w:r>
      <w:r>
        <w:rPr>
          <w:rFonts w:eastAsiaTheme="minorEastAsia" w:hAnsiTheme="minorHAnsi" w:cstheme="minorBidi"/>
          <w:color w:val="000000"/>
          <w:spacing w:val="241"/>
          <w:sz w:val="21"/>
          <w:szCs w:val="22"/>
          <w:lang w:val="en-US" w:eastAsia="en-US" w:bidi="ar-SA"/>
        </w:rPr>
        <w:t xml:space="preserve"> </w:t>
      </w:r>
      <w:r>
        <w:rPr>
          <w:rFonts w:ascii="SimSun" w:hAnsi="SimSun" w:eastAsiaTheme="minorEastAsia" w:cs="SimSun"/>
          <w:color w:val="000000"/>
          <w:sz w:val="21"/>
          <w:szCs w:val="22"/>
          <w:lang w:val="en-US" w:eastAsia="en-US" w:bidi="ar-SA"/>
        </w:rPr>
        <w:t>比上年增</w:t>
      </w:r>
      <w:r>
        <w:rPr>
          <w:rFonts w:eastAsiaTheme="minorEastAsia" w:hAnsiTheme="minorHAnsi" w:cstheme="minorBidi"/>
          <w:color w:val="000000"/>
          <w:spacing w:val="241"/>
          <w:sz w:val="21"/>
          <w:szCs w:val="22"/>
          <w:lang w:val="en-US" w:eastAsia="en-US" w:bidi="ar-SA"/>
        </w:rPr>
        <w:t xml:space="preserve"> </w:t>
      </w:r>
      <w:r>
        <w:rPr>
          <w:rFonts w:ascii="SimSun" w:hAnsi="SimSun" w:eastAsiaTheme="minorEastAsia" w:cs="SimSun"/>
          <w:color w:val="000000"/>
          <w:sz w:val="21"/>
          <w:szCs w:val="22"/>
          <w:lang w:val="en-US" w:eastAsia="en-US" w:bidi="ar-SA"/>
        </w:rPr>
        <w:t>上年增减</w:t>
      </w:r>
    </w:p>
    <w:p>
      <w:pPr>
        <w:framePr w:w="1296" w:x="9504" w:y="12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同行业同领</w:t>
      </w:r>
    </w:p>
    <w:p>
      <w:pPr>
        <w:framePr w:w="1296" w:x="9504" w:y="1263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域产品毛利</w:t>
      </w:r>
    </w:p>
    <w:p>
      <w:pPr>
        <w:framePr w:w="1296" w:x="9504" w:y="12637"/>
        <w:widowControl w:val="0"/>
        <w:autoSpaceDE w:val="0"/>
        <w:autoSpaceDN w:val="0"/>
        <w:spacing w:before="6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率情况</w:t>
      </w:r>
    </w:p>
    <w:p>
      <w:pPr>
        <w:framePr w:w="874" w:x="5171" w:y="127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毛利率</w:t>
      </w:r>
    </w:p>
    <w:p>
      <w:pPr>
        <w:framePr w:w="1121" w:x="1054" w:y="12908"/>
        <w:widowControl w:val="0"/>
        <w:autoSpaceDE w:val="0"/>
        <w:autoSpaceDN w:val="0"/>
        <w:spacing w:line="211" w:lineRule="exact"/>
        <w:ind w:left="3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细分行业</w:t>
      </w:r>
    </w:p>
    <w:p>
      <w:pPr>
        <w:framePr w:w="1121" w:x="1054" w:y="12908"/>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农药行业</w:t>
      </w:r>
    </w:p>
    <w:p>
      <w:pPr>
        <w:framePr w:w="1085" w:x="2369" w:y="12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085" w:x="3860" w:y="12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w:t>
      </w:r>
    </w:p>
    <w:p>
      <w:pPr>
        <w:framePr w:w="557" w:x="5329" w:y="130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979" w:x="6111" w:y="131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979" w:x="7247" w:y="131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965" w:x="8488" w:y="131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965" w:x="8488" w:y="13182"/>
        <w:widowControl w:val="0"/>
        <w:autoSpaceDE w:val="0"/>
        <w:autoSpaceDN w:val="0"/>
        <w:spacing w:before="70" w:line="211" w:lineRule="exact"/>
        <w:ind w:left="19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-7.42</w:t>
      </w:r>
    </w:p>
    <w:p>
      <w:pPr>
        <w:framePr w:w="1296" w:x="2340" w:y="134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189,559.57</w:t>
      </w:r>
    </w:p>
    <w:p>
      <w:pPr>
        <w:framePr w:w="2143" w:x="3903" w:y="134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136,828.94</w:t>
      </w:r>
      <w:r>
        <w:rPr>
          <w:rFonts w:ascii="SimSun" w:eastAsiaTheme="minorEastAsia" w:hAnsiTheme="minorHAnsi" w:cstheme="minorBidi"/>
          <w:color w:val="000000"/>
          <w:spacing w:val="217"/>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27.82</w:t>
      </w:r>
    </w:p>
    <w:p>
      <w:pPr>
        <w:framePr w:w="768" w:x="6414" w:y="134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20.39</w:t>
      </w:r>
    </w:p>
    <w:p>
      <w:pPr>
        <w:framePr w:w="768" w:x="7547" w:y="134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34.18</w:t>
      </w:r>
    </w:p>
    <w:p>
      <w:pPr>
        <w:framePr w:w="4464" w:x="1798" w:y="14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按销售渠道划分的公司主营业务基本情况</w:t>
      </w:r>
    </w:p>
    <w:p>
      <w:pPr>
        <w:framePr w:w="1922" w:x="1798" w:y="142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38" w:x="7936" w:y="14562"/>
        <w:widowControl w:val="0"/>
        <w:autoSpaceDE w:val="0"/>
        <w:autoSpaceDN w:val="0"/>
        <w:spacing w:line="211" w:lineRule="exact"/>
        <w:ind w:left="17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单位：万元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938" w:x="7936" w:y="1456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营业收入比上年增减（</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2938" w:x="7936" w:y="14562"/>
        <w:widowControl w:val="0"/>
        <w:autoSpaceDE w:val="0"/>
        <w:autoSpaceDN w:val="0"/>
        <w:spacing w:before="72" w:line="211" w:lineRule="exact"/>
        <w:ind w:left="217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32.19</w:t>
      </w:r>
    </w:p>
    <w:p>
      <w:pPr>
        <w:framePr w:w="1805" w:x="1798" w:y="14845"/>
        <w:widowControl w:val="0"/>
        <w:autoSpaceDE w:val="0"/>
        <w:autoSpaceDN w:val="0"/>
        <w:spacing w:line="211" w:lineRule="exact"/>
        <w:ind w:left="7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销售渠道</w:t>
      </w:r>
    </w:p>
    <w:p>
      <w:pPr>
        <w:framePr w:w="1805" w:x="1798" w:y="1484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国内销售</w:t>
      </w:r>
    </w:p>
    <w:p>
      <w:pPr>
        <w:framePr w:w="1085" w:x="5449" w:y="148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190" w:x="6496" w:y="151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55,775.62</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84" type="#_x0000_t75" style="width:445.6pt;height:2.7pt;margin-top:53.5pt;margin-left:87.45pt;mso-position-horizontal-relative:page;mso-position-vertical-relative:page;position:absolute;z-index:-251224064">
            <v:imagedata r:id="rId58" o:title=""/>
          </v:shape>
        </w:pict>
      </w:r>
      <w:r>
        <w:rPr>
          <w:noProof/>
        </w:rPr>
        <w:pict>
          <v:shape id="_x0000_s1085" type="#_x0000_t75" style="width:454.95pt;height:214.35pt;margin-top:74.3pt;margin-left:83.25pt;mso-position-horizontal-relative:page;mso-position-vertical-relative:page;position:absolute;z-index:-251309056">
            <v:imagedata r:id="rId59" o:title=""/>
          </v:shape>
        </w:pict>
      </w:r>
      <w:r>
        <w:rPr>
          <w:noProof/>
        </w:rPr>
        <w:pict>
          <v:shape id="_x0000_s1086" type="#_x0000_t75" style="width:492.3pt;height:57.9pt;margin-top:628.9pt;margin-left:46.05pt;mso-position-horizontal-relative:page;mso-position-vertical-relative:page;position:absolute;z-index:-251440128">
            <v:imagedata r:id="rId60" o:title=""/>
          </v:shape>
        </w:pict>
      </w:r>
      <w:r>
        <w:rPr>
          <w:noProof/>
        </w:rPr>
        <w:pict>
          <v:shape id="_x0000_s1087" type="#_x0000_t75" style="width:454.95pt;height:30.7pt;margin-top:739.3pt;margin-left:83.25pt;mso-position-horizontal-relative:page;mso-position-vertical-relative:page;position:absolute;z-index:-251636736">
            <v:imagedata r:id="rId61" o:title=""/>
          </v:shape>
        </w:pict>
      </w:r>
    </w:p>
    <w:p>
      <w:pPr>
        <w:spacing w:line="0" w:lineRule="atLeast"/>
        <w:rPr>
          <w:rFonts w:ascii="Arial" w:eastAsiaTheme="minorEastAsia" w:hAnsiTheme="minorHAnsi" w:cstheme="minorBidi"/>
          <w:color w:val="FF0000"/>
          <w:sz w:val="2"/>
          <w:szCs w:val="22"/>
          <w:lang w:val="en-US" w:eastAsia="en-US" w:bidi="ar-SA"/>
        </w:rPr>
      </w:pPr>
      <w:bookmarkStart w:id="22" w:name="br1_21"/>
      <w:bookmarkEnd w:id="22"/>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直接出口</w:t>
      </w:r>
    </w:p>
    <w:p>
      <w:pPr>
        <w:framePr w:w="1085"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间接出口</w:t>
      </w:r>
    </w:p>
    <w:p>
      <w:pPr>
        <w:framePr w:w="1190" w:x="649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85,416.97</w:t>
      </w:r>
    </w:p>
    <w:p>
      <w:pPr>
        <w:framePr w:w="1190" w:x="6496"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46,838.47</w:t>
      </w:r>
    </w:p>
    <w:p>
      <w:pPr>
        <w:framePr w:w="768" w:x="1010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-3.71</w:t>
      </w:r>
    </w:p>
    <w:p>
      <w:pPr>
        <w:framePr w:w="768" w:x="10106"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86.38</w:t>
      </w:r>
    </w:p>
    <w:p>
      <w:pPr>
        <w:framePr w:w="1507" w:x="1798" w:y="22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会计政策说明</w:t>
      </w:r>
    </w:p>
    <w:p>
      <w:pPr>
        <w:framePr w:w="1922" w:x="1798" w:y="27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6" w:x="1798" w:y="32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1718" w:x="2223" w:y="3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环保与安全情况</w:t>
      </w:r>
    </w:p>
    <w:p>
      <w:pPr>
        <w:framePr w:w="4464" w:x="1798" w:y="3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公司报告期内重大安全生产事故基本情况</w:t>
      </w:r>
    </w:p>
    <w:p>
      <w:pPr>
        <w:framePr w:w="1922" w:x="1798" w:y="43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49" w:x="2218" w:y="47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日，公司全资子公司辽宁先达烯草酮车间发生爆炸事故，造成</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人死亡、</w:t>
      </w:r>
      <w:r>
        <w:rPr>
          <w:rFonts w:ascii="SimSun" w:eastAsiaTheme="minorEastAsia" w:hAnsiTheme="minorHAnsi" w:cstheme="minorBidi"/>
          <w:color w:val="000000"/>
          <w:spacing w:val="1"/>
          <w:sz w:val="21"/>
          <w:szCs w:val="22"/>
          <w:lang w:val="en-US" w:eastAsia="en-US" w:bidi="ar-SA"/>
        </w:rPr>
        <w:t>10</w:t>
      </w:r>
    </w:p>
    <w:p>
      <w:pPr>
        <w:framePr w:w="5309" w:x="1798" w:y="51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人受伤。报告期内已通过安全整改验收，恢复试生产。</w:t>
      </w:r>
    </w:p>
    <w:p>
      <w:pPr>
        <w:framePr w:w="2354" w:x="1798" w:y="5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重大环保违规情况</w:t>
      </w:r>
    </w:p>
    <w:p>
      <w:pPr>
        <w:framePr w:w="1922" w:x="1798" w:y="62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798" w:y="67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五</w:t>
      </w:r>
      <w:r>
        <w:rPr>
          <w:rFonts w:ascii="SimSun" w:eastAsiaTheme="minorEastAsia" w:hAnsiTheme="minorHAnsi" w:cstheme="minorBidi"/>
          <w:color w:val="000000"/>
          <w:sz w:val="21"/>
          <w:szCs w:val="22"/>
          <w:lang w:val="en-US" w:eastAsia="en-US" w:bidi="ar-SA"/>
        </w:rPr>
        <w:t>)</w:t>
      </w:r>
    </w:p>
    <w:p>
      <w:pPr>
        <w:framePr w:w="1507" w:x="2638" w:y="67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投资状况分析</w:t>
      </w:r>
    </w:p>
    <w:p>
      <w:pPr>
        <w:framePr w:w="2770" w:x="1798" w:y="72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对外股权投资总体分析</w:t>
      </w:r>
    </w:p>
    <w:p>
      <w:pPr>
        <w:framePr w:w="1817" w:x="1798" w:y="77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38" w:x="1798" w:y="81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重大的股权投资</w:t>
      </w:r>
    </w:p>
    <w:p>
      <w:pPr>
        <w:framePr w:w="1922" w:x="1798" w:y="87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0" w:x="1798" w:y="91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重大的非股权投资</w:t>
      </w:r>
    </w:p>
    <w:p>
      <w:pPr>
        <w:framePr w:w="1922" w:x="1798" w:y="96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0" w:x="1798" w:y="100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以公允价值计量的金融资产</w:t>
      </w:r>
    </w:p>
    <w:p>
      <w:pPr>
        <w:framePr w:w="1922" w:x="1798" w:y="10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798" w:y="109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六</w:t>
      </w:r>
      <w:r>
        <w:rPr>
          <w:rFonts w:ascii="SimSun" w:eastAsiaTheme="minorEastAsia" w:hAnsiTheme="minorHAnsi" w:cstheme="minorBidi"/>
          <w:color w:val="000000"/>
          <w:sz w:val="21"/>
          <w:szCs w:val="22"/>
          <w:lang w:val="en-US" w:eastAsia="en-US" w:bidi="ar-SA"/>
        </w:rPr>
        <w:t>)</w:t>
      </w:r>
    </w:p>
    <w:p>
      <w:pPr>
        <w:framePr w:w="2141" w:x="2638" w:y="109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重大资产和股权出售</w:t>
      </w:r>
    </w:p>
    <w:p>
      <w:pPr>
        <w:framePr w:w="1922" w:x="1798" w:y="114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798" w:y="118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w:t>
      </w:r>
    </w:p>
    <w:p>
      <w:pPr>
        <w:framePr w:w="2352" w:x="2638" w:y="118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主要控股参股公司分析</w:t>
      </w:r>
    </w:p>
    <w:p>
      <w:pPr>
        <w:framePr w:w="1922" w:x="1798" w:y="1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22" w:x="1798" w:y="1278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报告期内，公司共有</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家全资子公司和</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家孙公司，子公司分别为潍坊先达、济南先达、辽</w:t>
      </w:r>
    </w:p>
    <w:p>
      <w:pPr>
        <w:framePr w:w="9322" w:x="1798" w:y="1278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宁先达、济南瑞斯邦、博兴县盛信达、香港德胜；孙公司分别为沈阳万菱、沈阳先达、印尼中农、</w:t>
      </w:r>
    </w:p>
    <w:p>
      <w:pPr>
        <w:framePr w:w="9322" w:x="1798" w:y="127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巴西光华。除此以外无其他控股参股公司。</w:t>
      </w:r>
    </w:p>
    <w:p>
      <w:pPr>
        <w:framePr w:w="9110" w:x="1798" w:y="1413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2"/>
          <w:sz w:val="21"/>
          <w:szCs w:val="22"/>
          <w:lang w:val="en-US" w:eastAsia="en-US" w:bidi="ar-SA"/>
        </w:rPr>
        <w:t>、潍坊先达成立于</w:t>
      </w:r>
      <w:r>
        <w:rPr>
          <w:rFonts w:eastAsiaTheme="minorEastAsia" w:hAnsiTheme="minorHAnsi" w:cstheme="minorBidi"/>
          <w:color w:val="000000"/>
          <w:spacing w:val="1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2006</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0"/>
          <w:sz w:val="21"/>
          <w:szCs w:val="22"/>
          <w:lang w:val="en-US" w:eastAsia="en-US" w:bidi="ar-SA"/>
        </w:rPr>
        <w:t>日，法定代表人刘相水，注册资本和实收资本为</w:t>
      </w:r>
      <w:r>
        <w:rPr>
          <w:rFonts w:eastAsiaTheme="minorEastAsia" w:hAnsiTheme="minorHAnsi" w:cstheme="minorBidi"/>
          <w:color w:val="000000"/>
          <w:spacing w:val="1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万</w:t>
      </w:r>
    </w:p>
    <w:p>
      <w:pPr>
        <w:framePr w:w="9110" w:x="1798" w:y="141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元，注册地和主要生产经营地为潍坊滨海经济开发区临港化工园东二户。主要从事化学农药原药</w:t>
      </w:r>
    </w:p>
    <w:p>
      <w:pPr>
        <w:framePr w:w="9110" w:x="1798" w:y="1413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的研发、生产及销售。潍坊先达最近两年主要财务数据如下：</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88" type="#_x0000_t75" style="width:445.6pt;height:2.7pt;margin-top:53.5pt;margin-left:87.45pt;mso-position-horizontal-relative:page;mso-position-vertical-relative:page;position:absolute;z-index:-251439104">
            <v:imagedata r:id="rId62" o:title=""/>
          </v:shape>
        </w:pict>
      </w:r>
      <w:r>
        <w:rPr>
          <w:noProof/>
        </w:rPr>
        <w:pict>
          <v:shape id="_x0000_s1089" type="#_x0000_t75" style="width:454.95pt;height:30.8pt;margin-top:74.3pt;margin-left:83.25pt;mso-position-horizontal-relative:page;mso-position-vertical-relative:page;position:absolute;z-index:-251635712">
            <v:imagedata r:id="rId63" o:title=""/>
          </v:shape>
        </w:pict>
      </w:r>
    </w:p>
    <w:p>
      <w:pPr>
        <w:spacing w:line="0" w:lineRule="atLeast"/>
        <w:rPr>
          <w:rFonts w:ascii="Arial" w:eastAsiaTheme="minorEastAsia" w:hAnsiTheme="minorHAnsi" w:cstheme="minorBidi"/>
          <w:color w:val="FF0000"/>
          <w:sz w:val="2"/>
          <w:szCs w:val="22"/>
          <w:lang w:val="en-US" w:eastAsia="en-US" w:bidi="ar-SA"/>
        </w:rPr>
      </w:pPr>
      <w:bookmarkStart w:id="23" w:name="br1_22"/>
      <w:bookmarkEnd w:id="23"/>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3003"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924" w:x="5852"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p>
    <w:p>
      <w:pPr>
        <w:framePr w:w="1190" w:x="8721" w:y="1547"/>
        <w:widowControl w:val="0"/>
        <w:autoSpaceDE w:val="0"/>
        <w:autoSpaceDN w:val="0"/>
        <w:spacing w:line="211" w:lineRule="exact"/>
        <w:ind w:left="133"/>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p>
    <w:p>
      <w:pPr>
        <w:framePr w:w="1190" w:x="8721"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54,019.17</w:t>
      </w:r>
    </w:p>
    <w:p>
      <w:pPr>
        <w:framePr w:w="1190" w:x="8721"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34,085.13</w:t>
      </w:r>
    </w:p>
    <w:p>
      <w:pPr>
        <w:framePr w:w="1190" w:x="8721" w:y="1547"/>
        <w:widowControl w:val="0"/>
        <w:autoSpaceDE w:val="0"/>
        <w:autoSpaceDN w:val="0"/>
        <w:spacing w:before="72"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4,915.34</w:t>
      </w:r>
    </w:p>
    <w:p>
      <w:pPr>
        <w:framePr w:w="1718" w:x="2477"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总资产（万元）</w:t>
      </w:r>
    </w:p>
    <w:p>
      <w:pPr>
        <w:framePr w:w="1718" w:x="247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净资产（万元）</w:t>
      </w:r>
    </w:p>
    <w:p>
      <w:pPr>
        <w:framePr w:w="1718" w:x="2477"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净利润（万元）</w:t>
      </w:r>
    </w:p>
    <w:p>
      <w:pPr>
        <w:framePr w:w="1190" w:x="5720"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63,455.87</w:t>
      </w:r>
    </w:p>
    <w:p>
      <w:pPr>
        <w:framePr w:w="1190" w:x="5720"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51,196.14</w:t>
      </w:r>
    </w:p>
    <w:p>
      <w:pPr>
        <w:framePr w:w="1190" w:x="5720"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17,272.48</w:t>
      </w:r>
    </w:p>
    <w:p>
      <w:pPr>
        <w:framePr w:w="9078" w:x="1798" w:y="27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4"/>
          <w:sz w:val="21"/>
          <w:szCs w:val="22"/>
          <w:lang w:val="en-US" w:eastAsia="en-US" w:bidi="ar-SA"/>
        </w:rPr>
        <w:t>、济南先达成立于</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2005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27</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3"/>
          <w:sz w:val="21"/>
          <w:szCs w:val="22"/>
          <w:lang w:val="en-US" w:eastAsia="en-US" w:bidi="ar-SA"/>
        </w:rPr>
        <w:t>日，法定代表人陈鸣宇，注册资本和实收资本为</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万</w:t>
      </w:r>
    </w:p>
    <w:p>
      <w:pPr>
        <w:framePr w:w="9078" w:x="1798" w:y="27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元，注册地和主要经营地为济南市高新区新泺大街</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2008</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号银荷大厦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D-6</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层。济南先达专门从事</w:t>
      </w:r>
    </w:p>
    <w:p>
      <w:pPr>
        <w:framePr w:w="9078" w:x="1798" w:y="279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农药制剂的技术推广及销售。济南先达最近两年主要财务数据如下：</w:t>
      </w:r>
    </w:p>
    <w:p>
      <w:pPr>
        <w:framePr w:w="662" w:x="3003" w:y="41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190" w:x="5720" w:y="4152"/>
        <w:widowControl w:val="0"/>
        <w:autoSpaceDE w:val="0"/>
        <w:autoSpaceDN w:val="0"/>
        <w:spacing w:line="211" w:lineRule="exact"/>
        <w:ind w:left="13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p>
    <w:p>
      <w:pPr>
        <w:framePr w:w="1190" w:x="5720" w:y="415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20,893.62</w:t>
      </w:r>
    </w:p>
    <w:p>
      <w:pPr>
        <w:framePr w:w="1190" w:x="5720" w:y="4152"/>
        <w:widowControl w:val="0"/>
        <w:autoSpaceDE w:val="0"/>
        <w:autoSpaceDN w:val="0"/>
        <w:spacing w:before="70"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5,872.81</w:t>
      </w:r>
    </w:p>
    <w:p>
      <w:pPr>
        <w:framePr w:w="1190" w:x="5720" w:y="4152"/>
        <w:widowControl w:val="0"/>
        <w:autoSpaceDE w:val="0"/>
        <w:autoSpaceDN w:val="0"/>
        <w:spacing w:before="72" w:line="211" w:lineRule="exact"/>
        <w:ind w:left="15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313.79</w:t>
      </w:r>
    </w:p>
    <w:p>
      <w:pPr>
        <w:framePr w:w="1190" w:x="8721" w:y="4152"/>
        <w:widowControl w:val="0"/>
        <w:autoSpaceDE w:val="0"/>
        <w:autoSpaceDN w:val="0"/>
        <w:spacing w:line="211" w:lineRule="exact"/>
        <w:ind w:left="133"/>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p>
    <w:p>
      <w:pPr>
        <w:framePr w:w="1190" w:x="8721" w:y="415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24,263.51</w:t>
      </w:r>
    </w:p>
    <w:p>
      <w:pPr>
        <w:framePr w:w="1190" w:x="8721" w:y="4152"/>
        <w:widowControl w:val="0"/>
        <w:autoSpaceDE w:val="0"/>
        <w:autoSpaceDN w:val="0"/>
        <w:spacing w:before="70"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5,559.02</w:t>
      </w:r>
    </w:p>
    <w:p>
      <w:pPr>
        <w:framePr w:w="1190" w:x="8721" w:y="4152"/>
        <w:widowControl w:val="0"/>
        <w:autoSpaceDE w:val="0"/>
        <w:autoSpaceDN w:val="0"/>
        <w:spacing w:before="72" w:line="211" w:lineRule="exact"/>
        <w:ind w:left="15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216.89</w:t>
      </w:r>
    </w:p>
    <w:p>
      <w:pPr>
        <w:framePr w:w="1718" w:x="2477" w:y="4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总资产（万元）</w:t>
      </w:r>
    </w:p>
    <w:p>
      <w:pPr>
        <w:framePr w:w="1718" w:x="2477" w:y="443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净资产（万元）</w:t>
      </w:r>
    </w:p>
    <w:p>
      <w:pPr>
        <w:framePr w:w="1718" w:x="2477" w:y="443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净利润（万元）</w:t>
      </w:r>
    </w:p>
    <w:p>
      <w:pPr>
        <w:framePr w:w="9216" w:x="1798" w:y="540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8"/>
          <w:sz w:val="21"/>
          <w:szCs w:val="22"/>
          <w:lang w:val="en-US" w:eastAsia="en-US" w:bidi="ar-SA"/>
        </w:rPr>
        <w:t>、辽宁先达成立于</w:t>
      </w:r>
      <w:r>
        <w:rPr>
          <w:rFonts w:eastAsiaTheme="minorEastAsia" w:hAnsiTheme="minorHAnsi" w:cstheme="minorBidi"/>
          <w:color w:val="000000"/>
          <w:spacing w:val="1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2017</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pacing w:val="-7"/>
          <w:sz w:val="21"/>
          <w:szCs w:val="22"/>
          <w:lang w:val="en-US" w:eastAsia="en-US" w:bidi="ar-SA"/>
        </w:rPr>
        <w:t>日，法定代表人孙彦，注册资本和实收资本为</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万</w:t>
      </w:r>
    </w:p>
    <w:p>
      <w:pPr>
        <w:framePr w:w="9216" w:x="1798" w:y="54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元，注册地和主要经营地为葫芦岛经济开发区综合产业园汉江路</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417</w:t>
      </w:r>
      <w:r>
        <w:rPr>
          <w:rFonts w:ascii="SimSun" w:hAnsi="SimSun" w:eastAsiaTheme="minorEastAsia" w:cs="SimSun"/>
          <w:color w:val="000000"/>
          <w:spacing w:val="-8"/>
          <w:sz w:val="21"/>
          <w:szCs w:val="22"/>
          <w:lang w:val="en-US" w:eastAsia="en-US" w:bidi="ar-SA"/>
        </w:rPr>
        <w:t>号。主要从事化学农药原药、</w:t>
      </w:r>
    </w:p>
    <w:p>
      <w:pPr>
        <w:framePr w:w="9216" w:x="1798" w:y="54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中间体、制剂的研发、生产及销售。辽宁先达最近两年主要财务数据如下：</w:t>
      </w:r>
    </w:p>
    <w:p>
      <w:pPr>
        <w:framePr w:w="662" w:x="3068" w:y="67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924" w:x="6018" w:y="67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p>
    <w:p>
      <w:pPr>
        <w:framePr w:w="924" w:x="8954" w:y="67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p>
    <w:p>
      <w:pPr>
        <w:framePr w:w="1718" w:x="2542" w:y="70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总资产（万元）</w:t>
      </w:r>
    </w:p>
    <w:p>
      <w:pPr>
        <w:framePr w:w="1718" w:x="2542" w:y="703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净资产（万元）</w:t>
      </w:r>
    </w:p>
    <w:p>
      <w:pPr>
        <w:framePr w:w="1718" w:x="2542" w:y="703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净利润（万元）</w:t>
      </w:r>
    </w:p>
    <w:p>
      <w:pPr>
        <w:framePr w:w="1190" w:x="5886" w:y="70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92,714.59</w:t>
      </w:r>
    </w:p>
    <w:p>
      <w:pPr>
        <w:framePr w:w="1190" w:x="5886" w:y="703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19,918.03</w:t>
      </w:r>
    </w:p>
    <w:p>
      <w:pPr>
        <w:framePr w:w="1190" w:x="5886" w:y="703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-7,018.84</w:t>
      </w:r>
    </w:p>
    <w:p>
      <w:pPr>
        <w:framePr w:w="1190" w:x="8822" w:y="70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83,886.83</w:t>
      </w:r>
    </w:p>
    <w:p>
      <w:pPr>
        <w:framePr w:w="1190" w:x="8822" w:y="703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26,953.05</w:t>
      </w:r>
    </w:p>
    <w:p>
      <w:pPr>
        <w:framePr w:w="1190" w:x="8822" w:y="703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-3,107.69</w:t>
      </w:r>
    </w:p>
    <w:p>
      <w:pPr>
        <w:framePr w:w="9076" w:x="1798" w:y="800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济南瑞斯邦成立于</w:t>
      </w:r>
      <w:r>
        <w:rPr>
          <w:rFonts w:eastAsiaTheme="minorEastAsia" w:hAnsiTheme="minorHAnsi" w:cstheme="minorBidi"/>
          <w:color w:val="000000"/>
          <w:spacing w:val="-1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2018</w:t>
      </w:r>
      <w:r>
        <w:rPr>
          <w:rFonts w:ascii="SimSun" w:eastAsiaTheme="minorEastAsia" w:hAnsiTheme="minorHAnsi" w:cstheme="minorBidi"/>
          <w:color w:val="000000"/>
          <w:spacing w:val="-4"/>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pacing w:val="37"/>
          <w:sz w:val="21"/>
          <w:szCs w:val="22"/>
          <w:lang w:val="en-US" w:eastAsia="en-US" w:bidi="ar-SA"/>
        </w:rPr>
        <w:t>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pacing w:val="-10"/>
          <w:sz w:val="21"/>
          <w:szCs w:val="22"/>
          <w:lang w:val="en-US" w:eastAsia="en-US" w:bidi="ar-SA"/>
        </w:rPr>
        <w:t>日，法定代表人陈鸣宇，注册资本和实收资本为</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100</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万元，</w:t>
      </w:r>
    </w:p>
    <w:p>
      <w:pPr>
        <w:framePr w:w="9076" w:x="1798" w:y="800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注册地和主要经营地为济南市高新区新泺大街</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2008</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号银荷大厦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D-6</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层。济南瑞斯邦专门从事农</w:t>
      </w:r>
    </w:p>
    <w:p>
      <w:pPr>
        <w:framePr w:w="9076" w:x="1798" w:y="800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药批发、零售及进出口业务。济南瑞斯邦最近一年主要财务数据如下：</w:t>
      </w:r>
    </w:p>
    <w:p>
      <w:pPr>
        <w:framePr w:w="662" w:x="3075" w:y="93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5951" w:y="9363"/>
        <w:widowControl w:val="0"/>
        <w:autoSpaceDE w:val="0"/>
        <w:autoSpaceDN w:val="0"/>
        <w:spacing w:line="211" w:lineRule="exact"/>
        <w:ind w:left="7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p>
    <w:p>
      <w:pPr>
        <w:framePr w:w="1085" w:x="5951" w:y="936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6,832.61</w:t>
      </w:r>
    </w:p>
    <w:p>
      <w:pPr>
        <w:framePr w:w="1085" w:x="5951" w:y="936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518.39</w:t>
      </w:r>
    </w:p>
    <w:p>
      <w:pPr>
        <w:framePr w:w="1085" w:x="8882" w:y="9363"/>
        <w:widowControl w:val="0"/>
        <w:autoSpaceDE w:val="0"/>
        <w:autoSpaceDN w:val="0"/>
        <w:spacing w:line="211" w:lineRule="exact"/>
        <w:ind w:left="7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p>
    <w:p>
      <w:pPr>
        <w:framePr w:w="1085" w:x="8882" w:y="936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1,884.25</w:t>
      </w:r>
    </w:p>
    <w:p>
      <w:pPr>
        <w:framePr w:w="1085" w:x="8882" w:y="9363"/>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270.53</w:t>
      </w:r>
    </w:p>
    <w:p>
      <w:pPr>
        <w:framePr w:w="1718" w:x="2549" w:y="96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总资产（万元）</w:t>
      </w:r>
    </w:p>
    <w:p>
      <w:pPr>
        <w:framePr w:w="1718" w:x="2549" w:y="96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净资产（万元）</w:t>
      </w:r>
    </w:p>
    <w:p>
      <w:pPr>
        <w:framePr w:w="1718" w:x="2549" w:y="96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净利润（万元）</w:t>
      </w:r>
    </w:p>
    <w:p>
      <w:pPr>
        <w:framePr w:w="874" w:x="6056" w:y="102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247.87</w:t>
      </w:r>
    </w:p>
    <w:p>
      <w:pPr>
        <w:framePr w:w="874" w:x="8985" w:y="102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160.80</w:t>
      </w:r>
    </w:p>
    <w:p>
      <w:pPr>
        <w:framePr w:w="9110" w:x="1798" w:y="1061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1"/>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23</w:t>
      </w:r>
      <w:r>
        <w:rPr>
          <w:rFonts w:ascii="SimSun" w:hAnsi="SimSun" w:eastAsiaTheme="minorEastAsia" w:cs="SimSun"/>
          <w:color w:val="000000"/>
          <w:spacing w:val="-1"/>
          <w:sz w:val="21"/>
          <w:szCs w:val="22"/>
          <w:lang w:val="en-US" w:eastAsia="en-US" w:bidi="ar-SA"/>
        </w:rPr>
        <w:t>日，经山东省发展与改革委员会批准，本公司在香港设立全资子公司香港</w:t>
      </w:r>
    </w:p>
    <w:p>
      <w:pPr>
        <w:framePr w:w="9110" w:x="1798" w:y="1061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德胜实业有限公司（英文名称：</w:t>
      </w:r>
      <w:r>
        <w:rPr>
          <w:rFonts w:ascii="SimSun" w:eastAsiaTheme="minorEastAsia" w:hAnsiTheme="minorHAnsi" w:cstheme="minorBidi"/>
          <w:color w:val="000000"/>
          <w:sz w:val="21"/>
          <w:szCs w:val="22"/>
          <w:lang w:val="en-US" w:eastAsia="en-US" w:bidi="ar-SA"/>
        </w:rPr>
        <w:t>WINZONE</w:t>
      </w:r>
      <w:r>
        <w:rPr>
          <w:rFonts w:ascii="SimSun"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INDUSTRIAL</w:t>
      </w:r>
      <w:r>
        <w:rPr>
          <w:rFonts w:ascii="SimSun"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LIMITED</w:t>
      </w:r>
      <w:r>
        <w:rPr>
          <w:rFonts w:ascii="SimSun" w:hAnsi="SimSun" w:eastAsiaTheme="minorEastAsia" w:cs="SimSun"/>
          <w:color w:val="000000"/>
          <w:spacing w:val="-10"/>
          <w:sz w:val="21"/>
          <w:szCs w:val="22"/>
          <w:lang w:val="en-US" w:eastAsia="en-US" w:bidi="ar-SA"/>
        </w:rPr>
        <w:t>）。注册资本为</w:t>
      </w:r>
      <w:r>
        <w:rPr>
          <w:rFonts w:eastAsiaTheme="minorEastAsia" w:hAnsiTheme="minorHAnsi" w:cstheme="minorBidi"/>
          <w:color w:val="000000"/>
          <w:spacing w:val="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港币，</w:t>
      </w:r>
    </w:p>
    <w:p>
      <w:pPr>
        <w:framePr w:w="9110" w:x="1798" w:y="106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公司类型：有限责任公司（非自然人投资或控股的法人独资），所属行业：批发和零售业，经营</w:t>
      </w:r>
    </w:p>
    <w:p>
      <w:pPr>
        <w:framePr w:w="9110" w:x="1798" w:y="106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范围：国际贸易代理；农药的批发、零售；农业技术、农药的技术开发、技术服务；货物及技术</w:t>
      </w:r>
    </w:p>
    <w:p>
      <w:pPr>
        <w:framePr w:w="9110" w:x="1798" w:y="106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进出口业务</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依法须经批准的项目</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经相关部门批准后方可开展经营活动</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9216" w:x="1798" w:y="127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w:t>
      </w:r>
      <w:r>
        <w:rPr>
          <w:rFonts w:ascii="SimSun" w:hAnsi="SimSun" w:eastAsiaTheme="minorEastAsia" w:cs="SimSun"/>
          <w:color w:val="000000"/>
          <w:sz w:val="21"/>
          <w:szCs w:val="22"/>
          <w:lang w:val="en-US" w:eastAsia="en-US" w:bidi="ar-SA"/>
        </w:rPr>
        <w:t>日，经山东省发展与改革委员会批准，子公司济南先达公司和济南瑞斯</w:t>
      </w:r>
    </w:p>
    <w:p>
      <w:pPr>
        <w:framePr w:w="9216" w:x="1798" w:y="12774"/>
        <w:widowControl w:val="0"/>
        <w:autoSpaceDE w:val="0"/>
        <w:autoSpaceDN w:val="0"/>
        <w:spacing w:before="199"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邦公司按照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49</w:t>
      </w:r>
      <w:r>
        <w:rPr>
          <w:rFonts w:ascii="SimSun" w:hAnsi="SimSun" w:eastAsiaTheme="minorEastAsia" w:cs="SimSun"/>
          <w:color w:val="000000"/>
          <w:spacing w:val="-97"/>
          <w:sz w:val="21"/>
          <w:szCs w:val="22"/>
          <w:lang w:val="en-US" w:eastAsia="en-US" w:bidi="ar-SA"/>
        </w:rPr>
        <w:t>：</w:t>
      </w:r>
      <w:r>
        <w:rPr>
          <w:rFonts w:ascii="SimSun" w:eastAsiaTheme="minorEastAsia" w:hAnsiTheme="minorHAnsi" w:cstheme="minorBidi"/>
          <w:color w:val="000000"/>
          <w:sz w:val="21"/>
          <w:szCs w:val="22"/>
          <w:lang w:val="en-US" w:eastAsia="en-US" w:bidi="ar-SA"/>
        </w:rPr>
        <w:t>51</w:t>
      </w:r>
      <w:r>
        <w:rPr>
          <w:rFonts w:ascii="SimSun" w:hAnsi="SimSun" w:eastAsiaTheme="minorEastAsia" w:cs="SimSun"/>
          <w:color w:val="000000"/>
          <w:spacing w:val="-3"/>
          <w:sz w:val="21"/>
          <w:szCs w:val="22"/>
          <w:lang w:val="en-US" w:eastAsia="en-US" w:bidi="ar-SA"/>
        </w:rPr>
        <w:t>的股比在印度尼西亚合资设立全资子公司印尼中农化学有限公司（</w:t>
      </w:r>
      <w:r>
        <w:rPr>
          <w:rFonts w:ascii="SimSun" w:eastAsiaTheme="minorEastAsia" w:hAnsiTheme="minorHAnsi" w:cstheme="minorBidi"/>
          <w:color w:val="000000"/>
          <w:sz w:val="21"/>
          <w:szCs w:val="22"/>
          <w:lang w:val="en-US" w:eastAsia="en-US" w:bidi="ar-SA"/>
        </w:rPr>
        <w:t>PT.SINOAGRO</w:t>
      </w:r>
    </w:p>
    <w:p>
      <w:pPr>
        <w:framePr w:w="9216" w:x="1798" w:y="127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CHEMICAL</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INDONESIA</w:t>
      </w:r>
      <w:r>
        <w:rPr>
          <w:rFonts w:ascii="SimSun" w:hAnsi="SimSun" w:eastAsiaTheme="minorEastAsia" w:cs="SimSun"/>
          <w:color w:val="000000"/>
          <w:sz w:val="21"/>
          <w:szCs w:val="22"/>
          <w:lang w:val="en-US" w:eastAsia="en-US" w:bidi="ar-SA"/>
        </w:rPr>
        <w:t>）。注册资本为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125</w:t>
      </w:r>
      <w:r>
        <w:rPr>
          <w:rFonts w:ascii="SimSun" w:hAnsi="SimSun" w:eastAsiaTheme="minorEastAsia" w:cs="SimSun"/>
          <w:color w:val="000000"/>
          <w:sz w:val="21"/>
          <w:szCs w:val="22"/>
          <w:lang w:val="en-US" w:eastAsia="en-US" w:bidi="ar-SA"/>
        </w:rPr>
        <w:t>万元人民币，公司类型：有限责任公司，所属行业：批</w:t>
      </w:r>
    </w:p>
    <w:p>
      <w:pPr>
        <w:framePr w:w="9216" w:x="1798" w:y="127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发零售业，企业地址：印度尼西亚爪哇省勿加西，经营范围：化肥、农用化学品（农药）贸易。</w:t>
      </w:r>
    </w:p>
    <w:p>
      <w:pPr>
        <w:framePr w:w="9016" w:x="1798" w:y="145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w:t>
      </w:r>
      <w:r>
        <w:rPr>
          <w:rFonts w:ascii="SimSun" w:hAnsi="SimSun" w:eastAsiaTheme="minorEastAsia" w:cs="SimSun"/>
          <w:color w:val="000000"/>
          <w:sz w:val="21"/>
          <w:szCs w:val="22"/>
          <w:lang w:val="en-US" w:eastAsia="en-US" w:bidi="ar-SA"/>
        </w:rPr>
        <w:t>日，经山东省发展与改革委员会批准，子公司潍坊先达公司与济南瑞斯</w:t>
      </w:r>
    </w:p>
    <w:p>
      <w:pPr>
        <w:framePr w:w="9016" w:x="1798" w:y="14528"/>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邦公司按照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90</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的股比在巴西合资设立全资子公司巴西光华农化有限公司（</w:t>
      </w:r>
      <w:r>
        <w:rPr>
          <w:rFonts w:ascii="SimSun" w:eastAsiaTheme="minorEastAsia" w:hAnsiTheme="minorHAnsi" w:cstheme="minorBidi"/>
          <w:color w:val="000000"/>
          <w:sz w:val="21"/>
          <w:szCs w:val="22"/>
          <w:lang w:val="en-US" w:eastAsia="en-US" w:bidi="ar-SA"/>
        </w:rPr>
        <w:t>BRILLIANCE</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90" type="#_x0000_t75" style="width:445.6pt;height:2.7pt;margin-top:53.5pt;margin-left:87.45pt;mso-position-horizontal-relative:page;mso-position-vertical-relative:page;position:absolute;z-index:-251188224">
            <v:imagedata r:id="rId64" o:title=""/>
          </v:shape>
        </w:pict>
      </w:r>
      <w:r>
        <w:rPr>
          <w:noProof/>
        </w:rPr>
        <w:pict>
          <v:shape id="_x0000_s1091" type="#_x0000_t75" style="width:454.95pt;height:59pt;margin-top:74.3pt;margin-left:83.25pt;mso-position-horizontal-relative:page;mso-position-vertical-relative:page;position:absolute;z-index:-251223040">
            <v:imagedata r:id="rId65" o:title=""/>
          </v:shape>
        </w:pict>
      </w:r>
      <w:r>
        <w:rPr>
          <w:noProof/>
        </w:rPr>
        <w:pict>
          <v:shape id="_x0000_s1092" type="#_x0000_t75" style="width:454.95pt;height:59pt;margin-top:204.6pt;margin-left:83.25pt;mso-position-horizontal-relative:page;mso-position-vertical-relative:page;position:absolute;z-index:-251308032">
            <v:imagedata r:id="rId66" o:title=""/>
          </v:shape>
        </w:pict>
      </w:r>
      <w:r>
        <w:rPr>
          <w:noProof/>
        </w:rPr>
        <w:pict>
          <v:shape id="_x0000_s1093" type="#_x0000_t75" style="width:454.95pt;height:59pt;margin-top:334.85pt;margin-left:83.25pt;mso-position-horizontal-relative:page;mso-position-vertical-relative:page;position:absolute;z-index:-251438080">
            <v:imagedata r:id="rId67" o:title=""/>
          </v:shape>
        </w:pict>
      </w:r>
      <w:r>
        <w:rPr>
          <w:noProof/>
        </w:rPr>
        <w:pict>
          <v:shape id="_x0000_s1094" type="#_x0000_t75" style="width:454.95pt;height:58.9pt;margin-top:465.2pt;margin-left:83.25pt;mso-position-horizontal-relative:page;mso-position-vertical-relative:page;position:absolute;z-index:-251634688">
            <v:imagedata r:id="rId68" o:title=""/>
          </v:shape>
        </w:pict>
      </w:r>
    </w:p>
    <w:p>
      <w:pPr>
        <w:spacing w:line="0" w:lineRule="atLeast"/>
        <w:rPr>
          <w:rFonts w:ascii="Arial" w:eastAsiaTheme="minorEastAsia" w:hAnsiTheme="minorHAnsi" w:cstheme="minorBidi"/>
          <w:color w:val="FF0000"/>
          <w:sz w:val="2"/>
          <w:szCs w:val="22"/>
          <w:lang w:val="en-US" w:eastAsia="en-US" w:bidi="ar-SA"/>
        </w:rPr>
      </w:pPr>
      <w:bookmarkStart w:id="24" w:name="br1_23"/>
      <w:bookmarkEnd w:id="24"/>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078"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PRODUTOS</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AGRICOLAS</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LTDA</w:t>
      </w:r>
      <w:r>
        <w:rPr>
          <w:rFonts w:ascii="SimSun" w:hAnsi="SimSun" w:eastAsiaTheme="minorEastAsia" w:cs="SimSun"/>
          <w:color w:val="000000"/>
          <w:sz w:val="21"/>
          <w:szCs w:val="22"/>
          <w:lang w:val="en-US" w:eastAsia="en-US" w:bidi="ar-SA"/>
        </w:rPr>
        <w:t>）。注册资本为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8</w:t>
      </w:r>
      <w:r>
        <w:rPr>
          <w:rFonts w:ascii="SimSun" w:hAnsi="SimSun" w:eastAsiaTheme="minorEastAsia" w:cs="SimSun"/>
          <w:color w:val="000000"/>
          <w:sz w:val="21"/>
          <w:szCs w:val="22"/>
          <w:lang w:val="en-US" w:eastAsia="en-US" w:bidi="ar-SA"/>
        </w:rPr>
        <w:t>万美金，公司类型：有限责任公司，所属行业：批发</w:t>
      </w:r>
    </w:p>
    <w:p>
      <w:pPr>
        <w:framePr w:w="8054"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零售，企业地址：巴西圣保罗市，经营范围：农药、化肥和土壤改良剂的批发贸易。</w:t>
      </w:r>
    </w:p>
    <w:p>
      <w:pPr>
        <w:framePr w:w="662" w:x="1798" w:y="24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八</w:t>
      </w:r>
      <w:r>
        <w:rPr>
          <w:rFonts w:ascii="SimSun" w:eastAsiaTheme="minorEastAsia" w:hAnsiTheme="minorHAnsi" w:cstheme="minorBidi"/>
          <w:color w:val="000000"/>
          <w:sz w:val="21"/>
          <w:szCs w:val="22"/>
          <w:lang w:val="en-US" w:eastAsia="en-US" w:bidi="ar-SA"/>
        </w:rPr>
        <w:t>)</w:t>
      </w:r>
    </w:p>
    <w:p>
      <w:pPr>
        <w:framePr w:w="2774" w:x="263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公司控制的结构化主体情况</w:t>
      </w:r>
    </w:p>
    <w:p>
      <w:pPr>
        <w:framePr w:w="1922" w:x="1798" w:y="2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42" w:x="1798" w:y="31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三、公司关于公司未来发展的讨论与分析</w:t>
      </w:r>
    </w:p>
    <w:p>
      <w:pPr>
        <w:framePr w:w="662" w:x="1798" w:y="37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z w:val="21"/>
          <w:szCs w:val="22"/>
          <w:lang w:val="en-US" w:eastAsia="en-US" w:bidi="ar-SA"/>
        </w:rPr>
        <w:t>)</w:t>
      </w:r>
    </w:p>
    <w:p>
      <w:pPr>
        <w:framePr w:w="1718" w:x="2638" w:y="37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行业格局和趋势</w:t>
      </w:r>
    </w:p>
    <w:p>
      <w:pPr>
        <w:framePr w:w="1922" w:x="1798" w:y="42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46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按照《农药工业“十三五”发展规划》指出到</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年，农药原药企业数量减少</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pacing w:val="-2"/>
          <w:sz w:val="21"/>
          <w:szCs w:val="22"/>
          <w:lang w:val="en-US" w:eastAsia="en-US" w:bidi="ar-SA"/>
        </w:rPr>
        <w:t>，国内排</w:t>
      </w:r>
    </w:p>
    <w:p>
      <w:pPr>
        <w:framePr w:w="9110" w:x="1798" w:y="46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名前</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位的农药企业集团的销售额达到全国总销售额的</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70</w:t>
      </w:r>
      <w:r>
        <w:rPr>
          <w:rFonts w:ascii="SimSun" w:hAnsi="SimSun" w:eastAsiaTheme="minorEastAsia" w:cs="SimSun"/>
          <w:color w:val="000000"/>
          <w:sz w:val="21"/>
          <w:szCs w:val="22"/>
          <w:lang w:val="en-US" w:eastAsia="en-US" w:bidi="ar-SA"/>
        </w:rPr>
        <w:t>％以上。农业部发布《关于加强管理</w:t>
      </w:r>
    </w:p>
    <w:p>
      <w:pPr>
        <w:framePr w:w="9110" w:x="1798" w:y="46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促进农药产业健康发展的意见》，更明确提出提高集中度，制定政策，积极培育大企业集团，支</w:t>
      </w:r>
    </w:p>
    <w:p>
      <w:pPr>
        <w:framePr w:w="9110" w:x="1798" w:y="46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持企业采取兼并重组等方式，扩大生产规模，提升质量效益。力争用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w:t>
      </w:r>
      <w:r>
        <w:rPr>
          <w:rFonts w:ascii="SimSun" w:hAnsi="SimSun" w:eastAsiaTheme="minorEastAsia" w:cs="SimSun"/>
          <w:color w:val="000000"/>
          <w:sz w:val="21"/>
          <w:szCs w:val="22"/>
          <w:lang w:val="en-US" w:eastAsia="en-US" w:bidi="ar-SA"/>
        </w:rPr>
        <w:t>年时间，兼并重组一批</w:t>
      </w:r>
    </w:p>
    <w:p>
      <w:pPr>
        <w:framePr w:w="9110" w:x="1798" w:y="464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中小农药生产企业，退出一批弱小农药生产企业，培育一批大型农药企业集团，提升农药企业竞</w:t>
      </w:r>
    </w:p>
    <w:p>
      <w:pPr>
        <w:framePr w:w="9110" w:x="1798" w:y="46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争力。</w:t>
      </w:r>
    </w:p>
    <w:p>
      <w:pPr>
        <w:framePr w:w="9110" w:x="1798" w:y="721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中国化工集团兼并重组先正达，</w:t>
      </w:r>
      <w:r>
        <w:rPr>
          <w:rFonts w:ascii="SimSun" w:eastAsiaTheme="minorEastAsia" w:hAnsiTheme="minorHAnsi" w:cstheme="minorBidi"/>
          <w:color w:val="333333"/>
          <w:sz w:val="21"/>
          <w:szCs w:val="22"/>
          <w:lang w:val="en-US" w:eastAsia="en-US" w:bidi="ar-SA"/>
        </w:rPr>
        <w:t>2020</w:t>
      </w:r>
      <w:r>
        <w:rPr>
          <w:rFonts w:ascii="SimSun" w:hAnsi="SimSun" w:eastAsiaTheme="minorEastAsia" w:cs="SimSun"/>
          <w:color w:val="333333"/>
          <w:sz w:val="21"/>
          <w:szCs w:val="22"/>
          <w:lang w:val="en-US" w:eastAsia="en-US" w:bidi="ar-SA"/>
        </w:rPr>
        <w:t>年</w:t>
      </w:r>
      <w:r>
        <w:rPr>
          <w:rFonts w:eastAsiaTheme="minorEastAsia" w:hAnsiTheme="minorHAnsi" w:cstheme="minorBidi"/>
          <w:color w:val="333333"/>
          <w:spacing w:val="2"/>
          <w:sz w:val="21"/>
          <w:szCs w:val="22"/>
          <w:lang w:val="en-US" w:eastAsia="en-US" w:bidi="ar-SA"/>
        </w:rPr>
        <w:t xml:space="preserve"> </w:t>
      </w:r>
      <w:r>
        <w:rPr>
          <w:rFonts w:ascii="SimSun" w:eastAsiaTheme="minorEastAsia" w:hAnsiTheme="minorHAnsi" w:cstheme="minorBidi"/>
          <w:color w:val="333333"/>
          <w:spacing w:val="51"/>
          <w:sz w:val="21"/>
          <w:szCs w:val="22"/>
          <w:lang w:val="en-US" w:eastAsia="en-US" w:bidi="ar-SA"/>
        </w:rPr>
        <w:t>6</w:t>
      </w:r>
      <w:r>
        <w:rPr>
          <w:rFonts w:ascii="SimSun" w:hAnsi="SimSun" w:eastAsiaTheme="minorEastAsia" w:cs="SimSun"/>
          <w:color w:val="333333"/>
          <w:spacing w:val="1"/>
          <w:sz w:val="21"/>
          <w:szCs w:val="22"/>
          <w:lang w:val="en-US" w:eastAsia="en-US" w:bidi="ar-SA"/>
        </w:rPr>
        <w:t>月</w:t>
      </w:r>
      <w:r>
        <w:rPr>
          <w:rFonts w:ascii="SimSun" w:hAnsi="SimSun" w:eastAsiaTheme="minorEastAsia" w:cs="SimSun"/>
          <w:color w:val="000000"/>
          <w:spacing w:val="-1"/>
          <w:sz w:val="21"/>
          <w:szCs w:val="22"/>
          <w:lang w:val="en-US" w:eastAsia="en-US" w:bidi="ar-SA"/>
        </w:rPr>
        <w:t>先正达、安道麦、扬农化工等资产整合成立</w:t>
      </w:r>
      <w:r>
        <w:rPr>
          <w:rFonts w:ascii="SimSun" w:hAnsi="SimSun" w:eastAsiaTheme="minorEastAsia" w:cs="SimSun"/>
          <w:color w:val="333333"/>
          <w:spacing w:val="-1"/>
          <w:sz w:val="21"/>
          <w:szCs w:val="22"/>
          <w:lang w:val="en-US" w:eastAsia="en-US" w:bidi="ar-SA"/>
        </w:rPr>
        <w:t>先正</w:t>
      </w:r>
    </w:p>
    <w:p>
      <w:pPr>
        <w:framePr w:w="9110" w:x="1798" w:y="72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333333"/>
          <w:sz w:val="21"/>
          <w:szCs w:val="22"/>
          <w:lang w:val="en-US" w:eastAsia="en-US" w:bidi="ar-SA"/>
        </w:rPr>
        <w:t>达集团</w:t>
      </w:r>
      <w:r>
        <w:rPr>
          <w:rFonts w:ascii="SimSun" w:hAnsi="SimSun" w:eastAsiaTheme="minorEastAsia" w:cs="SimSun"/>
          <w:color w:val="000000"/>
          <w:sz w:val="21"/>
          <w:szCs w:val="22"/>
          <w:lang w:val="en-US" w:eastAsia="en-US" w:bidi="ar-SA"/>
        </w:rPr>
        <w:t>，国内农化超级航母成立，有利于国内农化企业做大做强，提升国内农药行业集中度。国</w:t>
      </w:r>
    </w:p>
    <w:p>
      <w:pPr>
        <w:framePr w:w="9110" w:x="1798" w:y="72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内农药企业集中度提升过程将持续进行。</w:t>
      </w:r>
    </w:p>
    <w:p>
      <w:pPr>
        <w:framePr w:w="9110" w:x="1798" w:y="85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日趋严格的环保和监管要求导致的行业大洗牌正驱使农药生产企业向园区化、规模化、集约</w:t>
      </w:r>
    </w:p>
    <w:p>
      <w:pPr>
        <w:framePr w:w="9110" w:x="1798" w:y="85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化方向发展。我国农药生产企业多而分散的局面将在这一趋势下有望获得改观。规范化发展是未</w:t>
      </w:r>
    </w:p>
    <w:p>
      <w:pPr>
        <w:framePr w:w="9110" w:x="1798" w:y="85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来企业必由之路。国内农化企业出现集中的趋势，数家上市公司并购行业企业、产业链上的横向</w:t>
      </w:r>
    </w:p>
    <w:p>
      <w:pPr>
        <w:framePr w:w="9110" w:x="1798" w:y="85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合并以及向后整合、产能扩张，国内农药产业的优势资源正在进一步集中。</w:t>
      </w:r>
    </w:p>
    <w:p>
      <w:pPr>
        <w:framePr w:w="9110" w:x="1798" w:y="103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年初，突如其来的新冠疫情对全球农药产业链带来冲击，南美洲和北美洲疫情发展较为</w:t>
      </w:r>
    </w:p>
    <w:p>
      <w:pPr>
        <w:framePr w:w="9110" w:x="1798" w:y="1031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严重，两大洲是传统种植大洲，是全球农化市场的重要组成部分。考虑到农药下游是种植业，需</w:t>
      </w:r>
    </w:p>
    <w:p>
      <w:pPr>
        <w:framePr w:w="9110" w:x="1798" w:y="103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求相对稳定，疫情对农药下游需求仅带来短期冲击，随着疫情逐步消退，农药行业有望逐步回到</w:t>
      </w:r>
    </w:p>
    <w:p>
      <w:pPr>
        <w:framePr w:w="9110" w:x="1798" w:y="103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正常轨道。</w:t>
      </w:r>
    </w:p>
    <w:p>
      <w:pPr>
        <w:framePr w:w="8688" w:x="2218" w:y="120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年大宗商品价格出现较大幅度上涨，玉米大豆等农作物产品价格创出近年新高，农户种</w:t>
      </w:r>
    </w:p>
    <w:p>
      <w:pPr>
        <w:framePr w:w="6154" w:x="1798" w:y="124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植意愿上升，各国播种面积同比上升，有望提振农药行业需求。</w:t>
      </w:r>
    </w:p>
    <w:p>
      <w:pPr>
        <w:framePr w:w="662" w:x="1798" w:y="130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z w:val="21"/>
          <w:szCs w:val="22"/>
          <w:lang w:val="en-US" w:eastAsia="en-US" w:bidi="ar-SA"/>
        </w:rPr>
        <w:t>)</w:t>
      </w:r>
    </w:p>
    <w:p>
      <w:pPr>
        <w:framePr w:w="1507" w:x="2638" w:y="130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公司发展战略</w:t>
      </w:r>
    </w:p>
    <w:p>
      <w:pPr>
        <w:framePr w:w="1922" w:x="1798" w:y="133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373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公司继续秉承“专业化、精细化”的经营理念，专注于高端除草剂领域的技术创新和产品开</w:t>
      </w:r>
    </w:p>
    <w:p>
      <w:pPr>
        <w:framePr w:w="9110" w:x="1798" w:y="137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发。新冠疫情在国际上的蔓延，给中国农药界带来了新的机遇和挑战，随着国内环保、安全监管</w:t>
      </w:r>
    </w:p>
    <w:p>
      <w:pPr>
        <w:framePr w:w="9110" w:x="1798" w:y="137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力度的加大，对企业的管理规范化提出更高的要求，未来农药企业集中度提高、通过技术创新提</w:t>
      </w:r>
    </w:p>
    <w:p>
      <w:pPr>
        <w:framePr w:w="9110" w:x="1798" w:y="137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高竞争力是大势所趋。对于公司，发挥自己的新技术开发优势、创制自主专利产品的优势，进一</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95" type="#_x0000_t75" style="width:445.6pt;height:2.7pt;margin-top:53.5pt;margin-left:87.45pt;mso-position-horizontal-relative:page;mso-position-vertical-relative:page;position:absolute;z-index:-251222016">
            <v:imagedata r:id="rId44" o:title=""/>
          </v:shape>
        </w:pict>
      </w:r>
      <w:r>
        <w:rPr>
          <w:noProof/>
        </w:rPr>
        <w:pict>
          <v:shape id="_x0000_s1096" type="#_x0000_t75" style="width:57.1pt;height:15.7pt;margin-top:358.35pt;margin-left:256.45pt;mso-position-horizontal-relative:page;mso-position-vertical-relative:page;position:absolute;z-index:-251307008">
            <v:imagedata r:id="rId69" o:title=""/>
          </v:shape>
        </w:pict>
      </w:r>
      <w:r>
        <w:rPr>
          <w:noProof/>
        </w:rPr>
        <w:pict>
          <v:shape id="_x0000_s1097" type="#_x0000_t75" style="width:22.75pt;height:15.7pt;margin-top:358.35pt;margin-left:509.8pt;mso-position-horizontal-relative:page;mso-position-vertical-relative:page;position:absolute;z-index:-251437056">
            <v:imagedata r:id="rId70" o:title=""/>
          </v:shape>
        </w:pict>
      </w:r>
      <w:r>
        <w:rPr>
          <w:noProof/>
        </w:rPr>
        <w:pict>
          <v:shape id="_x0000_s1098" type="#_x0000_t75" style="width:33.55pt;height:15.7pt;margin-top:378.75pt;margin-left:88.9pt;mso-position-horizontal-relative:page;mso-position-vertical-relative:page;position:absolute;z-index:-251633664">
            <v:imagedata r:id="rId71" o:title=""/>
          </v:shape>
        </w:pict>
      </w:r>
    </w:p>
    <w:p>
      <w:pPr>
        <w:spacing w:line="0" w:lineRule="atLeast"/>
        <w:rPr>
          <w:rFonts w:ascii="Arial" w:eastAsiaTheme="minorEastAsia" w:hAnsiTheme="minorHAnsi" w:cstheme="minorBidi"/>
          <w:color w:val="FF0000"/>
          <w:sz w:val="2"/>
          <w:szCs w:val="22"/>
          <w:lang w:val="en-US" w:eastAsia="en-US" w:bidi="ar-SA"/>
        </w:rPr>
      </w:pPr>
      <w:bookmarkStart w:id="25" w:name="br1_24"/>
      <w:bookmarkEnd w:id="25"/>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步开发有技术竞争力的产品，开发产量小、附加值高的产品，加快从生产型企业向创新型企业转</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变的速度。还要发挥国际市场渠道优势、国内市场技术营销优势、辽宁先达新工厂地域优势，强</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化生产能力和销售能力，将公司打造成研发、生产、销售都要强的发展模式。</w:t>
      </w:r>
    </w:p>
    <w:p>
      <w:pPr>
        <w:framePr w:w="9110" w:x="1798" w:y="28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、国内市场：中国农村土地流转、耕作的专业化，农业经营模式的变化，带来农药经营的变</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化。根据农业生产的变化，探讨新的营销模式和解决方案。利用先达即将上市的新化合物，增强</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客户对公司的信任和依赖。</w:t>
      </w:r>
    </w:p>
    <w:p>
      <w:pPr>
        <w:framePr w:w="8794" w:x="2218" w:y="4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、强化应用技术的研究和田间药效试验验证，加大对终端农户的技术服务，扩大产品在基层</w:t>
      </w:r>
    </w:p>
    <w:p>
      <w:pPr>
        <w:framePr w:w="1296" w:x="1798" w:y="4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市场份额。</w:t>
      </w:r>
    </w:p>
    <w:p>
      <w:pPr>
        <w:framePr w:w="9110" w:x="1798" w:y="51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、辽宁先达的建成投产，为公司的新产品和专利产品提供了稳定的生产基地，这是先达新产</w:t>
      </w:r>
    </w:p>
    <w:p>
      <w:pPr>
        <w:framePr w:w="9110" w:x="1798" w:y="51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品产业化的保障。辽宁先达按照国家新的环保、安全规范，建设高标准生产车间。在一、二期建</w:t>
      </w:r>
    </w:p>
    <w:p>
      <w:pPr>
        <w:framePr w:w="9110" w:x="1798" w:y="516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设中烯草酮、烯酰吗啉等核心产品的产能得到释放，满足了市场需求。后续建设以新产品和专利</w:t>
      </w:r>
    </w:p>
    <w:p>
      <w:pPr>
        <w:framePr w:w="9110" w:x="1798" w:y="51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产品为主，加大建设力度，提升公司业绩。</w:t>
      </w:r>
    </w:p>
    <w:p>
      <w:pPr>
        <w:framePr w:w="8794" w:x="2218" w:y="69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、国际市场：加大产品在国外的登记力度，开辟新渠道，为国际市场长期健康发展打基础。</w:t>
      </w:r>
    </w:p>
    <w:p>
      <w:pPr>
        <w:framePr w:w="8794" w:x="2218" w:y="7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、沈阳研发中心的投入运营，加快科研队伍建设、新产品开发、新化合物合成和生物筛选，</w:t>
      </w:r>
    </w:p>
    <w:p>
      <w:pPr>
        <w:framePr w:w="3408" w:x="1798" w:y="78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为公司发展提供新产品和新技术。</w:t>
      </w:r>
    </w:p>
    <w:p>
      <w:pPr>
        <w:framePr w:w="6259" w:x="2218" w:y="8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、与科研院所、高校进一步合作，加大除草新化合物创制力度。</w:t>
      </w:r>
    </w:p>
    <w:p>
      <w:pPr>
        <w:framePr w:w="6048" w:x="2218" w:y="89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、加快创制新化合物登记及开发进度，尽快实现产品市场化。</w:t>
      </w:r>
    </w:p>
    <w:p>
      <w:pPr>
        <w:framePr w:w="8371" w:x="2218" w:y="94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、发挥上市平台作用，利用公司研发和市场渠道优势，开展本行业相关的投资及合作。</w:t>
      </w:r>
    </w:p>
    <w:p>
      <w:pPr>
        <w:framePr w:w="662" w:x="1798" w:y="99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三</w:t>
      </w:r>
      <w:r>
        <w:rPr>
          <w:rFonts w:ascii="SimSun" w:eastAsiaTheme="minorEastAsia" w:hAnsiTheme="minorHAnsi" w:cstheme="minorBidi"/>
          <w:color w:val="000000"/>
          <w:sz w:val="21"/>
          <w:szCs w:val="22"/>
          <w:lang w:val="en-US" w:eastAsia="en-US" w:bidi="ar-SA"/>
        </w:rPr>
        <w:t>)</w:t>
      </w:r>
    </w:p>
    <w:p>
      <w:pPr>
        <w:framePr w:w="1085" w:x="2638" w:y="99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经营计划</w:t>
      </w:r>
    </w:p>
    <w:p>
      <w:pPr>
        <w:framePr w:w="1922" w:x="1798" w:y="10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8" w:x="1798" w:y="1069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pacing w:val="-1"/>
          <w:sz w:val="21"/>
          <w:szCs w:val="22"/>
          <w:lang w:val="en-US" w:eastAsia="en-US" w:bidi="ar-SA"/>
        </w:rPr>
        <w:t>年，公司牢牢抓住经营管理主线，认真贯彻落实制定的各项工作方针，全面提升企业管</w:t>
      </w:r>
    </w:p>
    <w:p>
      <w:pPr>
        <w:framePr w:w="9078" w:x="1798" w:y="1069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理水平，推动企业高质量健康发展。</w:t>
      </w:r>
    </w:p>
    <w:p>
      <w:pPr>
        <w:framePr w:w="3091" w:x="2218" w:y="116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、主抓生产管理推动增产增效</w:t>
      </w:r>
    </w:p>
    <w:p>
      <w:pPr>
        <w:framePr w:w="9068" w:x="1798" w:y="121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制造中心将落实“稳定运行、提高产能、强化质量、降低成本”的理念，切实抓好安全生产</w:t>
      </w:r>
    </w:p>
    <w:p>
      <w:pPr>
        <w:framePr w:w="9068" w:x="1798" w:y="121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各项工作。</w:t>
      </w:r>
    </w:p>
    <w:p>
      <w:pPr>
        <w:framePr w:w="9216" w:x="1798" w:y="130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、加强设备管理，严格执行设备巡检管理制度，持续推进设备信息化应用，充分发挥设备性</w:t>
      </w:r>
    </w:p>
    <w:p>
      <w:pPr>
        <w:framePr w:w="9216" w:x="1798" w:y="130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能；</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、加强库存商品管理，库存实现全面动态管理，降低库存资金占用；</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z w:val="21"/>
          <w:szCs w:val="22"/>
          <w:lang w:val="en-US" w:eastAsia="en-US" w:bidi="ar-SA"/>
        </w:rPr>
        <w:t>、通过工艺优化降低</w:t>
      </w:r>
    </w:p>
    <w:p>
      <w:pPr>
        <w:framePr w:w="9216" w:x="1798" w:y="130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成本，提升产品竞争力；</w:t>
      </w: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2"/>
          <w:sz w:val="21"/>
          <w:szCs w:val="22"/>
          <w:lang w:val="en-US" w:eastAsia="en-US" w:bidi="ar-SA"/>
        </w:rPr>
        <w:t>、安全环保工作常抓不懈，加强员工安全环保教育，提升生产系统团队</w:t>
      </w:r>
    </w:p>
    <w:p>
      <w:pPr>
        <w:framePr w:w="9216" w:x="1798" w:y="130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的业务技能，保障双体系畅通运行，切实提高生产管理水平。</w:t>
      </w:r>
    </w:p>
    <w:p>
      <w:pPr>
        <w:framePr w:w="4253" w:x="2218" w:y="148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（二）完善薪酬考核模式，提升工作效能。</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99" type="#_x0000_t75" style="width:445.6pt;height:2.7pt;margin-top:53.5pt;margin-left:87.45pt;mso-position-horizontal-relative:page;mso-position-vertical-relative:page;position:absolute;z-index:-25163264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6" w:name="br1_25"/>
      <w:bookmarkEnd w:id="26"/>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216"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全面开展任职资格体系评定，通过梳理岗位职责和细化工作流程，体现岗位价值，全面提升</w:t>
      </w:r>
    </w:p>
    <w:p>
      <w:pPr>
        <w:framePr w:w="9216"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管理水平。</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、抓职责落实，关键节点实现控制，保障职责有效执行；</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、强化考核激励，进一步</w:t>
      </w:r>
    </w:p>
    <w:p>
      <w:pPr>
        <w:framePr w:w="9216"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细化考核办法，提高员工积极性；</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、严格落实成本管控、效益提升、多劳多得办法，激发工作积</w:t>
      </w:r>
    </w:p>
    <w:p>
      <w:pPr>
        <w:framePr w:w="9216"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极性及创造性；</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、加强团队建设，借鉴优秀企业先进的引进人才的办法，引进适合公司的高层次</w:t>
      </w:r>
    </w:p>
    <w:p>
      <w:pPr>
        <w:framePr w:w="9216"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人才，提升管理人员整体素质。</w:t>
      </w:r>
    </w:p>
    <w:p>
      <w:pPr>
        <w:framePr w:w="4464" w:x="2218" w:y="36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（三）持续提升管理标准，不断完善管理体系</w:t>
      </w:r>
    </w:p>
    <w:p>
      <w:pPr>
        <w:framePr w:w="9110" w:x="1798" w:y="422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加快推进管理标准化、流程化、信息管理化建设，进一步提升精细化管理水平。帮助子公司</w:t>
      </w:r>
    </w:p>
    <w:p>
      <w:pPr>
        <w:framePr w:w="9110" w:x="1798" w:y="42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补齐管理的短板，提高风险防控意识；规范采购、销售、工程、对外合作等各方面业务流程；加</w:t>
      </w:r>
    </w:p>
    <w:p>
      <w:pPr>
        <w:framePr w:w="9110" w:x="1798" w:y="42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强风控体系建设，做好监督管理。</w:t>
      </w:r>
    </w:p>
    <w:p>
      <w:pPr>
        <w:framePr w:w="2563" w:x="2218" w:y="5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（四）打造一流科研平台</w:t>
      </w:r>
    </w:p>
    <w:p>
      <w:pPr>
        <w:framePr w:w="9110" w:x="1798" w:y="610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加强产学研合作，开展对外合作交流、积极对接国内科研院所、高校、企业技术中心。发挥</w:t>
      </w:r>
    </w:p>
    <w:p>
      <w:pPr>
        <w:framePr w:w="9110" w:x="1798" w:y="61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内外部共享激励机制，进一步健全研发人员培养和激励机制，激发内部创新动力，不断激发研发</w:t>
      </w:r>
    </w:p>
    <w:p>
      <w:pPr>
        <w:framePr w:w="9110" w:x="1798" w:y="61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人员的创新动力。充分发挥科研平台优势，深化新产品开发，实现新化合物创制研究不断深入。</w:t>
      </w:r>
    </w:p>
    <w:p>
      <w:pPr>
        <w:framePr w:w="3830" w:x="2218" w:y="7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（五）稳步推进辽宁生产基地投产运营</w:t>
      </w:r>
    </w:p>
    <w:p>
      <w:pPr>
        <w:framePr w:w="9078" w:x="1798" w:y="797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辽宁生产基地一期项目已进入试生产阶段，公司通过提升员工操作技能，落实各项管理制度，</w:t>
      </w:r>
    </w:p>
    <w:p>
      <w:pPr>
        <w:framePr w:w="9078" w:x="1798" w:y="797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确保已投产项目顺利运行。同时加快二期烯草酮原药项目建设进度，争取年内具备投产条件。</w:t>
      </w:r>
    </w:p>
    <w:p>
      <w:pPr>
        <w:framePr w:w="4464" w:x="2218" w:y="89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（六）拓展市场的广度和深度，扩大市场份额</w:t>
      </w:r>
    </w:p>
    <w:p>
      <w:pPr>
        <w:framePr w:w="9110" w:x="1798" w:y="944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国内方面，首先不断丰富完善公司产品线，针对水田市场推出“斩马稗”系列新产品用于抗</w:t>
      </w:r>
    </w:p>
    <w:p>
      <w:pPr>
        <w:framePr w:w="9110" w:x="1798" w:y="94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性杂草防除，围绕烯酰吗啉开发杀菌剂新配方，在高粱田围绕新上市创制化合物喹草酮推出“先</w:t>
      </w:r>
    </w:p>
    <w:p>
      <w:pPr>
        <w:framePr w:w="9110" w:x="1798" w:y="94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达粱满仓”系列产品。同时加大推广销售力度，提高推广人员投入以有效推进“技术营销”模式</w:t>
      </w:r>
    </w:p>
    <w:p>
      <w:pPr>
        <w:framePr w:w="9110" w:x="1798" w:y="944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的运行。另外在国内制剂产品上积极进行新产品开发和技术储备，加大苜蓿田除草剂新技术的开</w:t>
      </w:r>
    </w:p>
    <w:p>
      <w:pPr>
        <w:framePr w:w="9110" w:x="1798" w:y="94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发力度。</w:t>
      </w:r>
    </w:p>
    <w:p>
      <w:pPr>
        <w:framePr w:w="9110" w:x="1798" w:y="1160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海外方面，公司加快自主登记资料提交和扩大公司产品在海外登记布局；加强海外市场和登</w:t>
      </w:r>
    </w:p>
    <w:p>
      <w:pPr>
        <w:framePr w:w="9110" w:x="1798" w:y="1160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记人才梯队建设，不断培养和储备优秀的人才。同时，继续深化与跨国公司合作，以实现销售规</w:t>
      </w:r>
    </w:p>
    <w:p>
      <w:pPr>
        <w:framePr w:w="9110" w:x="1798" w:y="1160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模的迅速扩大。</w:t>
      </w:r>
    </w:p>
    <w:p>
      <w:pPr>
        <w:framePr w:w="662" w:x="1798" w:y="129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四</w:t>
      </w:r>
      <w:r>
        <w:rPr>
          <w:rFonts w:ascii="SimSun" w:eastAsiaTheme="minorEastAsia" w:hAnsiTheme="minorHAnsi" w:cstheme="minorBidi"/>
          <w:color w:val="000000"/>
          <w:sz w:val="21"/>
          <w:szCs w:val="22"/>
          <w:lang w:val="en-US" w:eastAsia="en-US" w:bidi="ar-SA"/>
        </w:rPr>
        <w:t>)</w:t>
      </w:r>
    </w:p>
    <w:p>
      <w:pPr>
        <w:framePr w:w="1718" w:x="2638" w:y="129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可能面对的风险</w:t>
      </w:r>
    </w:p>
    <w:p>
      <w:pPr>
        <w:framePr w:w="1922" w:x="1798" w:y="132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24" w:x="2218" w:y="136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、市场竞争风险</w:t>
      </w:r>
    </w:p>
    <w:p>
      <w:pPr>
        <w:framePr w:w="9110" w:x="1798" w:y="142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就现有产品而言，公司在国内拥有较明显的规模、技术、质量、品牌优势，但随着国际农药</w:t>
      </w:r>
    </w:p>
    <w:p>
      <w:pPr>
        <w:framePr w:w="9110" w:x="1798" w:y="142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行业巨头进入国内市场，以及国内竞争对手的扩充产能，导致行业竞争日趋加剧，导致主要产品</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00" type="#_x0000_t75" style="width:445.6pt;height:2.7pt;margin-top:53.5pt;margin-left:87.45pt;mso-position-horizontal-relative:page;mso-position-vertical-relative:page;position:absolute;z-index:-25163161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7" w:name="br1_26"/>
      <w:bookmarkEnd w:id="27"/>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价格下跌，毛利率下降，进而影响公司的盈利水平。公司将加大现有产品的工艺优化力度，保持</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竞争优势，同时加快新产品研发和上市进度，增加新的盈利点，增强公司竞争力。</w:t>
      </w:r>
    </w:p>
    <w:p>
      <w:pPr>
        <w:framePr w:w="2458" w:x="221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、原材料价格波动风险</w:t>
      </w:r>
    </w:p>
    <w:p>
      <w:pPr>
        <w:framePr w:w="9110" w:x="1798" w:y="30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公司主要原材料种类较多，主要为石油化工行业的下游产品。原材料价格受国际原油价格、</w:t>
      </w:r>
    </w:p>
    <w:p>
      <w:pPr>
        <w:framePr w:w="9110" w:x="1798" w:y="30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市场供需关系、环保治理等众多因素的综合影响，在未来出现波动的可能性较大，如果产品价格</w:t>
      </w:r>
    </w:p>
    <w:p>
      <w:pPr>
        <w:framePr w:w="9110" w:x="1798" w:y="30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变化与原材料价格波动不一致，将会对本公司的经营业绩产生一定影响。公司将进一步发展战略</w:t>
      </w:r>
    </w:p>
    <w:p>
      <w:pPr>
        <w:framePr w:w="9110" w:x="1798" w:y="300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合作客户，并根据原材料价格近期波动情况及预期未来走势进行适度、适量的提前备货等渠道降</w:t>
      </w:r>
    </w:p>
    <w:p>
      <w:pPr>
        <w:framePr w:w="9110" w:x="1798" w:y="30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低采购成本。</w:t>
      </w:r>
    </w:p>
    <w:p>
      <w:pPr>
        <w:framePr w:w="1824" w:x="2218" w:y="5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、汇率变动风险</w:t>
      </w:r>
    </w:p>
    <w:p>
      <w:pPr>
        <w:framePr w:w="9322" w:x="1798" w:y="569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公司出口收入占比较高同时赊销账期较长，出口产品主要以美元结算，而汇率随着国内外政</w:t>
      </w:r>
    </w:p>
    <w:p>
      <w:pPr>
        <w:framePr w:w="9322" w:x="1798" w:y="569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治、经济环境及国际贸易政策的变化而波动，具有较大的不确定性，导致公司面临汇率变动风险。</w:t>
      </w:r>
    </w:p>
    <w:p>
      <w:pPr>
        <w:framePr w:w="9322" w:x="1798" w:y="56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针对汇率风险，公司通过加强购买出口信用保险、加大对国外客户分类管理、完善催收机制等方</w:t>
      </w:r>
    </w:p>
    <w:p>
      <w:pPr>
        <w:framePr w:w="9322" w:x="1798" w:y="56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式规避风险，同时密切关注外汇市场走势，灵活运用远期合约等金融市场工具，降低汇兑损失。</w:t>
      </w:r>
    </w:p>
    <w:p>
      <w:pPr>
        <w:framePr w:w="1824" w:x="2218" w:y="7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、安全环保风险</w:t>
      </w:r>
    </w:p>
    <w:p>
      <w:pPr>
        <w:framePr w:w="9110" w:x="1798" w:y="797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作为化学品生产企业，生产运营和安全环保风险不能根除，同时随着国家安全环保政策的日</w:t>
      </w:r>
    </w:p>
    <w:p>
      <w:pPr>
        <w:framePr w:w="9110" w:x="1798" w:y="797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益严格，随着安环环保方面的投入不断加大，公司运行成本也会相应提高，对公司的收益水平会</w:t>
      </w:r>
    </w:p>
    <w:p>
      <w:pPr>
        <w:framePr w:w="9110" w:x="1798" w:y="79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造成一定的不利影响。为应对安全环保所带来的风险，公司工作重点在以下几个方面：①加强在</w:t>
      </w:r>
    </w:p>
    <w:p>
      <w:pPr>
        <w:framePr w:w="9110" w:x="1798" w:y="79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生产运营上精细化管理；②通过不断对生产工艺进行优化，确保工艺过程的绿色环保，持续降低</w:t>
      </w:r>
    </w:p>
    <w:p>
      <w:pPr>
        <w:framePr w:w="9110" w:x="1798" w:y="79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生产过程中的能耗、物耗，提高循环利用水平；③通过对环保设施的不断升级改造，增强三废处</w:t>
      </w:r>
    </w:p>
    <w:p>
      <w:pPr>
        <w:framePr w:w="9110" w:x="1798" w:y="79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理能力。</w:t>
      </w:r>
    </w:p>
    <w:p>
      <w:pPr>
        <w:framePr w:w="4147" w:x="2218" w:y="105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、辽宁先达项目建设导致利润下滑的风险</w:t>
      </w:r>
    </w:p>
    <w:p>
      <w:pPr>
        <w:framePr w:w="9110" w:x="1798" w:y="110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辽宁先达一期项目正处于试生产阶段，</w:t>
      </w:r>
      <w:r>
        <w:rPr>
          <w:rFonts w:eastAsiaTheme="minorEastAsia" w:hAnsiTheme="minorHAnsi" w:cstheme="minorBidi"/>
          <w:color w:val="000000"/>
          <w:spacing w:val="6"/>
          <w:sz w:val="21"/>
          <w:szCs w:val="22"/>
          <w:lang w:val="en-US" w:eastAsia="en-US" w:bidi="ar-SA"/>
        </w:rPr>
        <w:t xml:space="preserve"> </w:t>
      </w:r>
      <w:r>
        <w:rPr>
          <w:rFonts w:ascii="SimSun" w:hAnsi="SimSun" w:eastAsiaTheme="minorEastAsia" w:cs="SimSun"/>
          <w:color w:val="000000"/>
          <w:spacing w:val="-2"/>
          <w:sz w:val="21"/>
          <w:szCs w:val="22"/>
          <w:lang w:val="en-US" w:eastAsia="en-US" w:bidi="ar-SA"/>
        </w:rPr>
        <w:t>到全面达产尚需一段时间，在此期间公司需要投入大</w:t>
      </w:r>
    </w:p>
    <w:p>
      <w:pPr>
        <w:framePr w:w="9110" w:x="1798" w:y="110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量的资金来维持一期项目运营及二期项目建设，会对公司经营业绩造成一定的影响。公司将调度</w:t>
      </w:r>
    </w:p>
    <w:p>
      <w:pPr>
        <w:framePr w:w="9110" w:x="1798" w:y="110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公司各方资源，充分发挥市场开拓和生产技术优势，以尽快实现销售规模的快速扩大和新建项目</w:t>
      </w:r>
    </w:p>
    <w:p>
      <w:pPr>
        <w:framePr w:w="9110" w:x="1798" w:y="11077"/>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新设备产能的释放，实现项目收益。</w:t>
      </w:r>
    </w:p>
    <w:p>
      <w:pPr>
        <w:framePr w:w="662" w:x="1798" w:y="128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五</w:t>
      </w:r>
      <w:r>
        <w:rPr>
          <w:rFonts w:ascii="SimSun" w:eastAsiaTheme="minorEastAsia" w:hAnsiTheme="minorHAnsi" w:cstheme="minorBidi"/>
          <w:color w:val="000000"/>
          <w:sz w:val="21"/>
          <w:szCs w:val="22"/>
          <w:lang w:val="en-US" w:eastAsia="en-US" w:bidi="ar-SA"/>
        </w:rPr>
        <w:t>)</w:t>
      </w:r>
    </w:p>
    <w:p>
      <w:pPr>
        <w:framePr w:w="662" w:x="2638" w:y="128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922" w:x="1798" w:y="13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38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四、公司因不适用准则规定或国家秘密、商业秘密等特殊原因，未按准则披露的情况和原因说明</w:t>
      </w:r>
    </w:p>
    <w:p>
      <w:pPr>
        <w:framePr w:w="9110" w:x="1798" w:y="1388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01" type="#_x0000_t75" style="width:445.6pt;height:2.7pt;margin-top:53.5pt;margin-left:87.45pt;mso-position-horizontal-relative:page;mso-position-vertical-relative:page;position:absolute;z-index:-25163059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8" w:name="br1_27"/>
      <w:bookmarkEnd w:id="28"/>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625" w:x="5022" w:y="1543"/>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第五节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2"/>
          <w:sz w:val="28"/>
          <w:szCs w:val="22"/>
          <w:lang w:val="en-US" w:eastAsia="en-US" w:bidi="ar-SA"/>
        </w:rPr>
        <w:t>重要事项</w:t>
      </w:r>
    </w:p>
    <w:p>
      <w:pPr>
        <w:framePr w:w="4253" w:x="1798"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一、普通股利润分配或资本公积金转增预案</w:t>
      </w:r>
    </w:p>
    <w:p>
      <w:pPr>
        <w:framePr w:w="4246" w:x="1798" w:y="245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现金分红政策的制定、执行或调整情况</w:t>
      </w:r>
    </w:p>
    <w:p>
      <w:pPr>
        <w:framePr w:w="1922" w:x="1798" w:y="2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319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公司实施稳健的利润分配政策，重视对投资者的合理投资回报，保持利润分配政策的连续性</w:t>
      </w:r>
    </w:p>
    <w:p>
      <w:pPr>
        <w:framePr w:w="9110" w:x="1798" w:y="319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和稳定性，并符合法律、法规的相关规定。公司利润分配不得超过累计可供分配利润的范围，同</w:t>
      </w:r>
    </w:p>
    <w:p>
      <w:pPr>
        <w:framePr w:w="9110" w:x="1798" w:y="319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时兼顾公司的长远利益、全体股东的整体利益及公司的可持续发展，并坚持如下原则：</w:t>
      </w:r>
    </w:p>
    <w:p>
      <w:pPr>
        <w:framePr w:w="2880" w:x="2218" w:y="45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、按法定顺序分配的原则；</w:t>
      </w:r>
    </w:p>
    <w:p>
      <w:pPr>
        <w:framePr w:w="3936" w:x="2218" w:y="50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、存在未弥补亏损、不得分配的原则；</w:t>
      </w:r>
    </w:p>
    <w:p>
      <w:pPr>
        <w:framePr w:w="3936" w:x="2218" w:y="507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、同股同权、同股同利的原则；</w:t>
      </w:r>
    </w:p>
    <w:p>
      <w:pPr>
        <w:framePr w:w="4781" w:x="2218" w:y="61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、公司持有的本公司股份不得分配利润的原则；</w:t>
      </w:r>
    </w:p>
    <w:p>
      <w:pPr>
        <w:framePr w:w="4781" w:x="2218" w:y="613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、公司优先采用现金分红的利润分配方式。</w:t>
      </w:r>
    </w:p>
    <w:p>
      <w:pPr>
        <w:framePr w:w="9068" w:x="1798" w:y="718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利润分配形式：公司采用现金、股票或者现金与股票相结合的方式分配股利，并优先采用现</w:t>
      </w:r>
    </w:p>
    <w:p>
      <w:pPr>
        <w:framePr w:w="9068" w:x="1798" w:y="718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金分红的利润分配方式。在有条件的情况下，公司可以进行中期利润分配。</w:t>
      </w:r>
    </w:p>
    <w:p>
      <w:pPr>
        <w:framePr w:w="2774" w:x="2218" w:y="8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公司现金分红的具体条件：</w:t>
      </w:r>
    </w:p>
    <w:p>
      <w:pPr>
        <w:framePr w:w="9005" w:x="2218" w:y="86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7"/>
          <w:sz w:val="21"/>
          <w:szCs w:val="22"/>
          <w:lang w:val="en-US" w:eastAsia="en-US" w:bidi="ar-SA"/>
        </w:rPr>
        <w:t>、公司该年度或半年度实现的可分配利润（即公司弥补亏损、提取公积金后所余的税后利润）</w:t>
      </w:r>
    </w:p>
    <w:p>
      <w:pPr>
        <w:framePr w:w="6576" w:x="1798" w:y="9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为正值、且现金流充裕，实施现金分红不会影响公司后续持续经营；</w:t>
      </w:r>
    </w:p>
    <w:p>
      <w:pPr>
        <w:framePr w:w="3514" w:x="2218" w:y="9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、公司累计可供分配利润为正值；</w:t>
      </w:r>
    </w:p>
    <w:p>
      <w:pPr>
        <w:framePr w:w="8794" w:x="2218" w:y="101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、审计机构对公司的该年度财务报告出具标准无保留意见的审计报告（半年度利润分配按有</w:t>
      </w:r>
    </w:p>
    <w:p>
      <w:pPr>
        <w:framePr w:w="1718" w:x="1798" w:y="105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关规定执行）；</w:t>
      </w:r>
    </w:p>
    <w:p>
      <w:pPr>
        <w:framePr w:w="9110" w:x="1798" w:y="1105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、公司无重大投资计划或重大现金支出等事项发生（募集资金项目除外）。重大投资计划或</w:t>
      </w:r>
    </w:p>
    <w:p>
      <w:pPr>
        <w:framePr w:w="9110" w:x="1798" w:y="1105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重大现金支出是指公司未来十二个月内拟对外投资、收购资产或者购买设备的累计支出达到或者</w:t>
      </w:r>
    </w:p>
    <w:p>
      <w:pPr>
        <w:framePr w:w="9110" w:x="1798" w:y="1105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超过公司最近一期经审计净资产的</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以上。</w:t>
      </w:r>
    </w:p>
    <w:p>
      <w:pPr>
        <w:framePr w:w="9068" w:x="1798" w:y="124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公司在确定可供分配利润时应当以母公司报表口径为基础，在计算分红比例时应当以合并报</w:t>
      </w:r>
    </w:p>
    <w:p>
      <w:pPr>
        <w:framePr w:w="9068" w:x="1798" w:y="124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表口径为基础。</w:t>
      </w:r>
    </w:p>
    <w:p>
      <w:pPr>
        <w:framePr w:w="9110" w:x="1798" w:y="133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在满足现金分红条件、保证公司正常经营和长远发展的前提下，公司原则上每年年度股东大</w:t>
      </w:r>
    </w:p>
    <w:p>
      <w:pPr>
        <w:framePr w:w="9110" w:x="1798" w:y="1333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会召开后进行一次现金分红，公司董事会可以根据公司的盈利状况及资金需求状况提议公司进行</w:t>
      </w:r>
    </w:p>
    <w:p>
      <w:pPr>
        <w:framePr w:w="9110" w:x="1798" w:y="133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中期现金分红。</w:t>
      </w:r>
    </w:p>
    <w:p>
      <w:pPr>
        <w:framePr w:w="9068" w:x="1798" w:y="1468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公司若存在股东违规占用公司资金的情况，应当相应扣减该股东所应分配的现金红利，用以</w:t>
      </w:r>
    </w:p>
    <w:p>
      <w:pPr>
        <w:framePr w:w="9068" w:x="1798" w:y="1468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偿还其所占用的资金。</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02" type="#_x0000_t75" style="width:445.6pt;height:2.7pt;margin-top:53.5pt;margin-left:87.45pt;mso-position-horizontal-relative:page;mso-position-vertical-relative:page;position:absolute;z-index:-25162956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9" w:name="br1_28"/>
      <w:bookmarkEnd w:id="29"/>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06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公司现金分红的比例：在满足现金分红条件时，公司采取固定比例政策进行现金分红，即每</w:t>
      </w:r>
    </w:p>
    <w:p>
      <w:pPr>
        <w:framePr w:w="906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年以现金方式分配的利润应不低于当年实现的归属于公司股东的净利润的</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，且任意三个连续</w:t>
      </w:r>
    </w:p>
    <w:p>
      <w:pPr>
        <w:framePr w:w="9068"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会计年度内，公司以现金方式累计分配的利润不少于该三年实现的年均可分配利润的</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。如存</w:t>
      </w:r>
    </w:p>
    <w:p>
      <w:pPr>
        <w:framePr w:w="9068"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在以前年度未弥补亏损的，以弥补后的金额为基数计算当年现金分红。</w:t>
      </w:r>
    </w:p>
    <w:p>
      <w:pPr>
        <w:framePr w:w="6787" w:x="2218" w:y="3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在公司满足现金分红条件的情况下，公司将尽量提高现金分红的比例。</w:t>
      </w:r>
    </w:p>
    <w:p>
      <w:pPr>
        <w:framePr w:w="8883" w:x="1798" w:y="3799"/>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公司近三年（含报告期）的普通股股利分配方案或预案、资本公积金转增股本方案或预案</w:t>
      </w:r>
    </w:p>
    <w:p>
      <w:pPr>
        <w:framePr w:w="2554" w:x="8320" w:y="43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4349"/>
        <w:widowControl w:val="0"/>
        <w:autoSpaceDE w:val="0"/>
        <w:autoSpaceDN w:val="0"/>
        <w:spacing w:before="70" w:line="211" w:lineRule="exact"/>
        <w:ind w:left="117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占合并报表</w:t>
      </w:r>
    </w:p>
    <w:p>
      <w:pPr>
        <w:framePr w:w="977" w:x="3968" w:y="4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股</w:t>
      </w:r>
    </w:p>
    <w:p>
      <w:pPr>
        <w:framePr w:w="3063" w:x="7727" w:y="4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分红年度合并报</w:t>
      </w:r>
      <w:r>
        <w:rPr>
          <w:rFonts w:eastAsiaTheme="minorEastAsia" w:hAnsiTheme="minorHAnsi" w:cstheme="minorBidi"/>
          <w:color w:val="000000"/>
          <w:spacing w:val="244"/>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中归属于上</w:t>
      </w:r>
    </w:p>
    <w:p>
      <w:pPr>
        <w:framePr w:w="3063" w:x="7727" w:y="4903"/>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表中归属于上市</w:t>
      </w:r>
      <w:r>
        <w:rPr>
          <w:rFonts w:eastAsiaTheme="minorEastAsia" w:hAnsiTheme="minorHAnsi" w:cstheme="minorBidi"/>
          <w:color w:val="000000"/>
          <w:spacing w:val="24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市公司普通</w:t>
      </w:r>
    </w:p>
    <w:p>
      <w:pPr>
        <w:framePr w:w="3063" w:x="7727" w:y="490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公司普通股股东</w:t>
      </w:r>
      <w:r>
        <w:rPr>
          <w:rFonts w:eastAsiaTheme="minorEastAsia" w:hAnsiTheme="minorHAnsi" w:cstheme="minorBidi"/>
          <w:color w:val="000000"/>
          <w:spacing w:val="24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股股东的净</w:t>
      </w:r>
    </w:p>
    <w:p>
      <w:pPr>
        <w:framePr w:w="1174" w:x="2744" w:y="5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pacing w:val="1"/>
          <w:sz w:val="21"/>
          <w:szCs w:val="22"/>
          <w:lang w:val="en-US" w:eastAsia="en-US" w:bidi="ar-SA"/>
        </w:rPr>
        <w:t>股送</w:t>
      </w:r>
    </w:p>
    <w:p>
      <w:pPr>
        <w:framePr w:w="1174" w:x="2744" w:y="5040"/>
        <w:widowControl w:val="0"/>
        <w:autoSpaceDE w:val="0"/>
        <w:autoSpaceDN w:val="0"/>
        <w:spacing w:before="61" w:line="211" w:lineRule="exact"/>
        <w:ind w:left="14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红股数</w:t>
      </w:r>
    </w:p>
    <w:p>
      <w:pPr>
        <w:framePr w:w="1507" w:x="6198" w:y="5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现金分红的数</w:t>
      </w:r>
    </w:p>
    <w:p>
      <w:pPr>
        <w:framePr w:w="1507" w:x="6198" w:y="5040"/>
        <w:widowControl w:val="0"/>
        <w:autoSpaceDE w:val="0"/>
        <w:autoSpaceDN w:val="0"/>
        <w:spacing w:before="61" w:line="211" w:lineRule="exact"/>
        <w:ind w:left="52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662" w:x="1952" w:y="5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分红</w:t>
      </w:r>
    </w:p>
    <w:p>
      <w:pPr>
        <w:framePr w:w="662" w:x="1952" w:y="517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年度</w:t>
      </w:r>
    </w:p>
    <w:p>
      <w:pPr>
        <w:framePr w:w="874" w:x="4019" w:y="5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派息数</w:t>
      </w:r>
    </w:p>
    <w:p>
      <w:pPr>
        <w:framePr w:w="1174" w:x="4998" w:y="5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pacing w:val="1"/>
          <w:sz w:val="21"/>
          <w:szCs w:val="22"/>
          <w:lang w:val="en-US" w:eastAsia="en-US" w:bidi="ar-SA"/>
        </w:rPr>
        <w:t>股转</w:t>
      </w:r>
    </w:p>
    <w:p>
      <w:pPr>
        <w:framePr w:w="2362" w:x="3915" w:y="5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（含</w:t>
      </w:r>
      <w:r>
        <w:rPr>
          <w:rFonts w:eastAsiaTheme="minorEastAsia" w:hAnsiTheme="minorHAnsi" w:cstheme="minorBidi"/>
          <w:color w:val="000000"/>
          <w:spacing w:val="190"/>
          <w:sz w:val="21"/>
          <w:szCs w:val="22"/>
          <w:lang w:val="en-US" w:eastAsia="en-US" w:bidi="ar-SA"/>
        </w:rPr>
        <w:t xml:space="preserve"> </w:t>
      </w:r>
      <w:r>
        <w:rPr>
          <w:rFonts w:ascii="SimSun" w:hAnsi="SimSun" w:eastAsiaTheme="minorEastAsia" w:cs="SimSun"/>
          <w:color w:val="000000"/>
          <w:spacing w:val="-3"/>
          <w:sz w:val="21"/>
          <w:szCs w:val="22"/>
          <w:lang w:val="en-US" w:eastAsia="en-US" w:bidi="ar-SA"/>
        </w:rPr>
        <w:t>增数（股）</w:t>
      </w:r>
    </w:p>
    <w:p>
      <w:pPr>
        <w:framePr w:w="874" w:x="2892" w:y="55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w:t>
      </w:r>
    </w:p>
    <w:p>
      <w:pPr>
        <w:framePr w:w="1085" w:x="6407" w:y="55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（含税）</w:t>
      </w:r>
    </w:p>
    <w:p>
      <w:pPr>
        <w:framePr w:w="662" w:x="4124" w:y="57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w:t>
      </w:r>
    </w:p>
    <w:p>
      <w:pPr>
        <w:framePr w:w="1085" w:x="8041" w:y="57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的净利润</w:t>
      </w:r>
    </w:p>
    <w:p>
      <w:pPr>
        <w:framePr w:w="1296" w:x="9496" w:y="57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利润的比率</w:t>
      </w:r>
    </w:p>
    <w:p>
      <w:pPr>
        <w:framePr w:w="1296" w:x="9496" w:y="5719"/>
        <w:widowControl w:val="0"/>
        <w:autoSpaceDE w:val="0"/>
        <w:autoSpaceDN w:val="0"/>
        <w:spacing w:before="62" w:line="211" w:lineRule="exact"/>
        <w:ind w:left="36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924" w:x="1798" w:y="62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p>
    <w:p>
      <w:pPr>
        <w:framePr w:w="924" w:x="1798" w:y="627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p>
    <w:p>
      <w:pPr>
        <w:framePr w:w="924" w:x="1798" w:y="627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w:t>
      </w:r>
    </w:p>
    <w:p>
      <w:pPr>
        <w:framePr w:w="346" w:x="3569" w:y="62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3569" w:y="627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3569" w:y="627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662" w:x="4362" w:y="62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3.50</w:t>
      </w:r>
    </w:p>
    <w:p>
      <w:pPr>
        <w:framePr w:w="662" w:x="4362" w:y="627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3.00</w:t>
      </w:r>
    </w:p>
    <w:p>
      <w:pPr>
        <w:framePr w:w="662" w:x="4362" w:y="627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3617" w:x="5823" w:y="62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r>
        <w:rPr>
          <w:rFonts w:ascii="SimSun" w:eastAsiaTheme="minorEastAsia" w:hAnsiTheme="minorHAnsi" w:cstheme="minorBidi"/>
          <w:color w:val="000000"/>
          <w:spacing w:val="1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55,471,500.00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176,034,335.10</w:t>
      </w:r>
    </w:p>
    <w:p>
      <w:pPr>
        <w:framePr w:w="3617" w:x="5823" w:y="627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r>
        <w:rPr>
          <w:rFonts w:ascii="SimSun" w:eastAsiaTheme="minorEastAsia" w:hAnsiTheme="minorHAnsi" w:cstheme="minorBidi"/>
          <w:color w:val="000000"/>
          <w:spacing w:val="1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33,600,000.00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204,618,341.01</w:t>
      </w:r>
    </w:p>
    <w:p>
      <w:pPr>
        <w:framePr w:w="768" w:x="10106" w:y="62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31.51</w:t>
      </w:r>
    </w:p>
    <w:p>
      <w:pPr>
        <w:framePr w:w="874" w:x="10000" w:y="65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16.420</w:t>
      </w:r>
    </w:p>
    <w:p>
      <w:pPr>
        <w:framePr w:w="874" w:x="10000" w:y="6557"/>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346" w:x="5823" w:y="68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2350" w:x="7091" w:y="68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251,047,737.55</w:t>
      </w:r>
    </w:p>
    <w:p>
      <w:pPr>
        <w:framePr w:w="4457" w:x="1798" w:y="749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以现金方式回购股份计入现金分红的情况</w:t>
      </w:r>
    </w:p>
    <w:p>
      <w:pPr>
        <w:framePr w:w="1817" w:x="1798" w:y="80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5" w:x="1798" w:y="835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四</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z w:val="21"/>
          <w:szCs w:val="22"/>
          <w:lang w:val="en-US" w:eastAsia="en-US" w:bidi="ar-SA"/>
        </w:rPr>
        <w:t>报告期内盈利且母公司可供普通股股东分配利润为正，但未提出普通股现金利润分配方案预</w:t>
      </w:r>
    </w:p>
    <w:p>
      <w:pPr>
        <w:framePr w:w="6154" w:x="2218" w:y="86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案的，公司应当详细披露原因以及未分配利润的用途和使用计划</w:t>
      </w:r>
    </w:p>
    <w:p>
      <w:pPr>
        <w:framePr w:w="1817" w:x="1798" w:y="89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03" type="#_x0000_t75" style="width:445.6pt;height:2.7pt;margin-top:53.5pt;margin-left:87.45pt;mso-position-horizontal-relative:page;mso-position-vertical-relative:page;position:absolute;z-index:-251436032">
            <v:imagedata r:id="rId72" o:title=""/>
          </v:shape>
        </w:pict>
      </w:r>
      <w:r>
        <w:rPr>
          <w:noProof/>
        </w:rPr>
        <w:pict>
          <v:shape id="_x0000_s1104" type="#_x0000_t75" style="width:454.95pt;height:127.05pt;margin-top:228.5pt;margin-left:83.25pt;mso-position-horizontal-relative:page;mso-position-vertical-relative:page;position:absolute;z-index:-251628544">
            <v:imagedata r:id="rId73" o:title=""/>
          </v:shape>
        </w:pict>
      </w:r>
    </w:p>
    <w:p>
      <w:pPr>
        <w:spacing w:line="0" w:lineRule="atLeast"/>
        <w:rPr>
          <w:rFonts w:ascii="Arial" w:eastAsiaTheme="minorEastAsia" w:hAnsiTheme="minorHAnsi" w:cstheme="minorBidi"/>
          <w:color w:val="FF0000"/>
          <w:sz w:val="2"/>
          <w:szCs w:val="22"/>
          <w:lang w:val="en-US" w:eastAsia="en-US" w:bidi="ar-SA"/>
        </w:rPr>
      </w:pPr>
      <w:bookmarkStart w:id="30" w:name="br1_29"/>
      <w:bookmarkEnd w:id="30"/>
      <w:r>
        <w:rPr>
          <w:rFonts w:ascii="Arial" w:eastAsiaTheme="minorEastAsia" w:hAnsiTheme="minorHAnsi" w:cstheme="minorBidi"/>
          <w:color w:val="FF0000"/>
          <w:sz w:val="2"/>
          <w:szCs w:val="22"/>
          <w:lang w:val="en-US" w:eastAsia="en-US" w:bidi="ar-SA"/>
        </w:rPr>
        <w:t xml:space="preserve"> </w:t>
      </w:r>
    </w:p>
    <w:p>
      <w:pPr>
        <w:framePr w:w="1550" w:x="7796" w:y="85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352" w:x="1524" w:y="1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二、承诺事项履行情况</w:t>
      </w:r>
    </w:p>
    <w:p>
      <w:pPr>
        <w:framePr w:w="10503" w:x="1524" w:y="167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公司实际控制人、股东、关联方、收购人以及公司等承诺相关方在报告期内或持续到报告期内的承诺事项</w:t>
      </w:r>
    </w:p>
    <w:p>
      <w:pPr>
        <w:framePr w:w="1817" w:x="1524" w:y="2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90" w:x="13972" w:y="23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如未能及时</w:t>
      </w:r>
      <w:r>
        <w:rPr>
          <w:rFonts w:eastAsiaTheme="minorEastAsia" w:hAnsiTheme="minorHAnsi" w:cstheme="minorBidi"/>
          <w:color w:val="000000"/>
          <w:spacing w:val="202"/>
          <w:sz w:val="21"/>
          <w:szCs w:val="22"/>
          <w:lang w:val="en-US" w:eastAsia="en-US" w:bidi="ar-SA"/>
        </w:rPr>
        <w:t xml:space="preserve"> </w:t>
      </w:r>
      <w:r>
        <w:rPr>
          <w:rFonts w:ascii="SimSun" w:hAnsi="SimSun" w:eastAsiaTheme="minorEastAsia" w:cs="SimSun"/>
          <w:color w:val="000000"/>
          <w:sz w:val="21"/>
          <w:szCs w:val="22"/>
          <w:lang w:val="en-US" w:eastAsia="en-US" w:bidi="ar-SA"/>
        </w:rPr>
        <w:t>如未能及</w:t>
      </w:r>
    </w:p>
    <w:p>
      <w:pPr>
        <w:framePr w:w="2390" w:x="13972" w:y="230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履行应说明</w:t>
      </w:r>
      <w:r>
        <w:rPr>
          <w:rFonts w:eastAsiaTheme="minorEastAsia" w:hAnsiTheme="minorHAnsi" w:cstheme="minorBidi"/>
          <w:color w:val="000000"/>
          <w:spacing w:val="202"/>
          <w:sz w:val="21"/>
          <w:szCs w:val="22"/>
          <w:lang w:val="en-US" w:eastAsia="en-US" w:bidi="ar-SA"/>
        </w:rPr>
        <w:t xml:space="preserve"> </w:t>
      </w:r>
      <w:r>
        <w:rPr>
          <w:rFonts w:ascii="SimSun" w:hAnsi="SimSun" w:eastAsiaTheme="minorEastAsia" w:cs="SimSun"/>
          <w:color w:val="000000"/>
          <w:sz w:val="21"/>
          <w:szCs w:val="22"/>
          <w:lang w:val="en-US" w:eastAsia="en-US" w:bidi="ar-SA"/>
        </w:rPr>
        <w:t>时履行应</w:t>
      </w:r>
    </w:p>
    <w:p>
      <w:pPr>
        <w:framePr w:w="2390" w:x="13972" w:y="230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未完成履行</w:t>
      </w:r>
      <w:r>
        <w:rPr>
          <w:rFonts w:eastAsiaTheme="minorEastAsia" w:hAnsiTheme="minorHAnsi" w:cstheme="minorBidi"/>
          <w:color w:val="000000"/>
          <w:spacing w:val="202"/>
          <w:sz w:val="21"/>
          <w:szCs w:val="22"/>
          <w:lang w:val="en-US" w:eastAsia="en-US" w:bidi="ar-SA"/>
        </w:rPr>
        <w:t xml:space="preserve"> </w:t>
      </w:r>
      <w:r>
        <w:rPr>
          <w:rFonts w:ascii="SimSun" w:hAnsi="SimSun" w:eastAsiaTheme="minorEastAsia" w:cs="SimSun"/>
          <w:color w:val="000000"/>
          <w:sz w:val="21"/>
          <w:szCs w:val="22"/>
          <w:lang w:val="en-US" w:eastAsia="en-US" w:bidi="ar-SA"/>
        </w:rPr>
        <w:t>说明下一</w:t>
      </w:r>
    </w:p>
    <w:p>
      <w:pPr>
        <w:framePr w:w="874" w:x="12054" w:y="24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是否有</w:t>
      </w:r>
    </w:p>
    <w:p>
      <w:pPr>
        <w:framePr w:w="874" w:x="12054" w:y="244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履行期</w:t>
      </w:r>
    </w:p>
    <w:p>
      <w:pPr>
        <w:framePr w:w="874" w:x="12054" w:y="2443"/>
        <w:widowControl w:val="0"/>
        <w:autoSpaceDE w:val="0"/>
        <w:autoSpaceDN w:val="0"/>
        <w:spacing w:before="6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w:t>
      </w:r>
    </w:p>
    <w:p>
      <w:pPr>
        <w:framePr w:w="874" w:x="13046" w:y="24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是否及</w:t>
      </w:r>
    </w:p>
    <w:p>
      <w:pPr>
        <w:framePr w:w="874" w:x="13046" w:y="244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时严格</w:t>
      </w:r>
    </w:p>
    <w:p>
      <w:pPr>
        <w:framePr w:w="874" w:x="13046" w:y="2443"/>
        <w:widowControl w:val="0"/>
        <w:autoSpaceDE w:val="0"/>
        <w:autoSpaceDN w:val="0"/>
        <w:spacing w:before="6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履行</w:t>
      </w:r>
    </w:p>
    <w:p>
      <w:pPr>
        <w:framePr w:w="874" w:x="854" w:y="2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承诺背</w:t>
      </w:r>
    </w:p>
    <w:p>
      <w:pPr>
        <w:framePr w:w="874" w:x="854" w:y="2580"/>
        <w:widowControl w:val="0"/>
        <w:autoSpaceDE w:val="0"/>
        <w:autoSpaceDN w:val="0"/>
        <w:spacing w:before="6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景</w:t>
      </w:r>
    </w:p>
    <w:p>
      <w:pPr>
        <w:framePr w:w="662" w:x="2096" w:y="2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承诺</w:t>
      </w:r>
    </w:p>
    <w:p>
      <w:pPr>
        <w:framePr w:w="662" w:x="2096" w:y="258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类型</w:t>
      </w:r>
    </w:p>
    <w:p>
      <w:pPr>
        <w:framePr w:w="662" w:x="7268" w:y="2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承诺</w:t>
      </w:r>
    </w:p>
    <w:p>
      <w:pPr>
        <w:framePr w:w="662" w:x="7268" w:y="258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内容</w:t>
      </w:r>
    </w:p>
    <w:p>
      <w:pPr>
        <w:framePr w:w="1085" w:x="10885" w:y="2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承诺时间</w:t>
      </w:r>
    </w:p>
    <w:p>
      <w:pPr>
        <w:framePr w:w="1085" w:x="10885" w:y="2580"/>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及期限</w:t>
      </w:r>
    </w:p>
    <w:p>
      <w:pPr>
        <w:framePr w:w="874" w:x="3267" w:y="27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承诺方</w:t>
      </w:r>
    </w:p>
    <w:p>
      <w:pPr>
        <w:framePr w:w="1298" w:x="13968" w:y="3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的具体原因</w:t>
      </w:r>
    </w:p>
    <w:p>
      <w:pPr>
        <w:framePr w:w="1298" w:x="13968" w:y="312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1018" w:x="15242" w:y="3124"/>
        <w:widowControl w:val="0"/>
        <w:autoSpaceDE w:val="0"/>
        <w:autoSpaceDN w:val="0"/>
        <w:spacing w:line="211" w:lineRule="exact"/>
        <w:ind w:left="14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步计划</w:t>
      </w:r>
    </w:p>
    <w:p>
      <w:pPr>
        <w:framePr w:w="1018" w:x="15242" w:y="312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1085" w:x="1776"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股份限售</w:t>
      </w:r>
    </w:p>
    <w:p>
      <w:pPr>
        <w:framePr w:w="874" w:x="3053"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7602" w:x="4328" w:y="34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在本人持有的公司本次发行上市前已经发行股份的锁定期限届满后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w:t>
      </w:r>
      <w:r>
        <w:rPr>
          <w:rFonts w:ascii="SimSun" w:eastAsiaTheme="minorEastAsia" w:hAnsiTheme="minorHAnsi" w:cstheme="minorBidi"/>
          <w:color w:val="000000"/>
          <w:spacing w:val="16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2020.5.1</w:t>
      </w:r>
    </w:p>
    <w:p>
      <w:pPr>
        <w:framePr w:w="7602" w:x="4328" w:y="3405"/>
        <w:widowControl w:val="0"/>
        <w:autoSpaceDE w:val="0"/>
        <w:autoSpaceDN w:val="0"/>
        <w:spacing w:before="63"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年内，本人将严格按照法律、法规的要求减持所持有股份，每年减持</w:t>
      </w:r>
      <w:r>
        <w:rPr>
          <w:rFonts w:eastAsiaTheme="minorEastAsia" w:hAnsiTheme="minorHAnsi" w:cstheme="minorBidi"/>
          <w:color w:val="000000"/>
          <w:spacing w:val="16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1-2022.5</w:t>
      </w:r>
    </w:p>
    <w:p>
      <w:pPr>
        <w:framePr w:w="7602" w:x="4328" w:y="3405"/>
        <w:widowControl w:val="0"/>
        <w:autoSpaceDE w:val="0"/>
        <w:autoSpaceDN w:val="0"/>
        <w:spacing w:before="6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股份的数量不超过本人减持当年年初持有的公司股份总数的</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pacing w:val="-1"/>
          <w:sz w:val="21"/>
          <w:szCs w:val="22"/>
          <w:lang w:val="en-US" w:eastAsia="en-US" w:bidi="ar-SA"/>
        </w:rPr>
        <w:t>，股</w:t>
      </w:r>
      <w:r>
        <w:rPr>
          <w:rFonts w:eastAsiaTheme="minorEastAsia" w:hAnsiTheme="minorHAnsi" w:cstheme="minorBidi"/>
          <w:color w:val="000000"/>
          <w:spacing w:val="21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p>
    <w:p>
      <w:pPr>
        <w:framePr w:w="7602" w:x="4328" w:y="340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份减持价格将不低于本次发行并上市时公司股票的发行价格。前述本</w:t>
      </w:r>
    </w:p>
    <w:p>
      <w:pPr>
        <w:framePr w:w="7602" w:x="4328" w:y="340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人关于减持价格的承诺在本人离职或职务变更后仍然有效，不因本人</w:t>
      </w:r>
    </w:p>
    <w:p>
      <w:pPr>
        <w:framePr w:w="7602" w:x="4328" w:y="340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离职或职务变更而拒绝履行有关义务。</w:t>
      </w:r>
    </w:p>
    <w:p>
      <w:pPr>
        <w:framePr w:w="451" w:x="11982"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2974"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1085" w:x="1776" w:y="5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股份限售</w:t>
      </w:r>
    </w:p>
    <w:p>
      <w:pPr>
        <w:framePr w:w="1085" w:x="1776"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股份限售</w:t>
      </w:r>
    </w:p>
    <w:p>
      <w:pPr>
        <w:framePr w:w="1085" w:x="1776"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股份限售</w:t>
      </w:r>
    </w:p>
    <w:p>
      <w:pPr>
        <w:framePr w:w="1085" w:x="1776" w:y="5050"/>
        <w:widowControl w:val="0"/>
        <w:autoSpaceDE w:val="0"/>
        <w:autoSpaceDN w:val="0"/>
        <w:spacing w:before="6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8456" w:x="3053" w:y="5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王现全、姚</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z w:val="21"/>
          <w:szCs w:val="22"/>
          <w:lang w:val="en-US" w:eastAsia="en-US" w:bidi="ar-SA"/>
        </w:rPr>
        <w:t>在担任公司董事、监事或高级管理人员期间，每年转让公司股份不超</w:t>
      </w:r>
      <w:r>
        <w:rPr>
          <w:rFonts w:eastAsiaTheme="minorEastAsia" w:hAnsiTheme="minorHAnsi" w:cstheme="minorBidi"/>
          <w:color w:val="000000"/>
          <w:spacing w:val="16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451" w:x="11982" w:y="5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1982"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1982"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1982" w:y="5050"/>
        <w:widowControl w:val="0"/>
        <w:autoSpaceDE w:val="0"/>
        <w:autoSpaceDN w:val="0"/>
        <w:spacing w:before="6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2974" w:y="5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2974"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2974"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2974" w:y="5050"/>
        <w:widowControl w:val="0"/>
        <w:autoSpaceDE w:val="0"/>
        <w:autoSpaceDN w:val="0"/>
        <w:spacing w:before="6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3968" w:y="5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3968"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3968"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3968" w:y="5050"/>
        <w:widowControl w:val="0"/>
        <w:autoSpaceDE w:val="0"/>
        <w:autoSpaceDN w:val="0"/>
        <w:spacing w:before="6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242" w:y="5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242"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242" w:y="5050"/>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242" w:y="5050"/>
        <w:widowControl w:val="0"/>
        <w:autoSpaceDE w:val="0"/>
        <w:autoSpaceDN w:val="0"/>
        <w:spacing w:before="6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662" w:x="3053" w:y="53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长明</w:t>
      </w:r>
    </w:p>
    <w:p>
      <w:pPr>
        <w:framePr w:w="6546" w:x="4328" w:y="53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过其所持有股份总数的</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25%</w:t>
      </w:r>
      <w:r>
        <w:rPr>
          <w:rFonts w:ascii="SimSun" w:hAnsi="SimSun" w:eastAsiaTheme="minorEastAsia" w:cs="SimSun"/>
          <w:color w:val="000000"/>
          <w:spacing w:val="-10"/>
          <w:sz w:val="21"/>
          <w:szCs w:val="22"/>
          <w:lang w:val="en-US" w:eastAsia="en-US" w:bidi="ar-SA"/>
        </w:rPr>
        <w:t>；在离职后</w:t>
      </w:r>
      <w:r>
        <w:rPr>
          <w:rFonts w:eastAsiaTheme="minorEastAsia" w:hAnsiTheme="minorHAnsi" w:cstheme="minorBidi"/>
          <w:color w:val="000000"/>
          <w:spacing w:val="64"/>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个月内不转让其所持有的公</w:t>
      </w:r>
    </w:p>
    <w:p>
      <w:pPr>
        <w:framePr w:w="1085" w:x="4328" w:y="55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司股份。</w:t>
      </w:r>
    </w:p>
    <w:p>
      <w:pPr>
        <w:framePr w:w="8456" w:x="3053" w:y="5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贾玉玲、孙</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z w:val="21"/>
          <w:szCs w:val="22"/>
          <w:lang w:val="en-US" w:eastAsia="en-US" w:bidi="ar-SA"/>
        </w:rPr>
        <w:t>在其亲属担任公司董事、监事或高级管理人员期间，每年转让公司股</w:t>
      </w:r>
      <w:r>
        <w:rPr>
          <w:rFonts w:eastAsiaTheme="minorEastAsia" w:hAnsiTheme="minorHAnsi" w:cstheme="minorBidi"/>
          <w:color w:val="000000"/>
          <w:spacing w:val="16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8456" w:x="3053" w:y="587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利娟、王现</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z w:val="21"/>
          <w:szCs w:val="22"/>
          <w:lang w:val="en-US" w:eastAsia="en-US" w:bidi="ar-SA"/>
        </w:rPr>
        <w:t>份不超过其所持有股份总数的</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pacing w:val="-13"/>
          <w:sz w:val="21"/>
          <w:szCs w:val="22"/>
          <w:lang w:val="en-US" w:eastAsia="en-US" w:bidi="ar-SA"/>
        </w:rPr>
        <w:t>；在其亲属离职后</w:t>
      </w:r>
      <w:r>
        <w:rPr>
          <w:rFonts w:eastAsiaTheme="minorEastAsia" w:hAnsiTheme="minorHAnsi" w:cstheme="minorBidi"/>
          <w:color w:val="000000"/>
          <w:spacing w:val="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个月内不转让</w:t>
      </w:r>
    </w:p>
    <w:p>
      <w:pPr>
        <w:framePr w:w="8456" w:x="3053" w:y="587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国、侯万富</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z w:val="21"/>
          <w:szCs w:val="22"/>
          <w:lang w:val="en-US" w:eastAsia="en-US" w:bidi="ar-SA"/>
        </w:rPr>
        <w:t>其所持有的公司股份。</w:t>
      </w:r>
    </w:p>
    <w:p>
      <w:pPr>
        <w:framePr w:w="874" w:x="782" w:y="6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与首次</w:t>
      </w:r>
    </w:p>
    <w:p>
      <w:pPr>
        <w:framePr w:w="874" w:x="782" w:y="614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公开发</w:t>
      </w:r>
    </w:p>
    <w:p>
      <w:pPr>
        <w:framePr w:w="874" w:x="782" w:y="614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行相关</w:t>
      </w:r>
    </w:p>
    <w:p>
      <w:pPr>
        <w:framePr w:w="874" w:x="782" w:y="614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8876" w:x="3053" w:y="67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王现全、孙</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3"/>
          <w:sz w:val="21"/>
          <w:szCs w:val="22"/>
          <w:lang w:val="en-US" w:eastAsia="en-US" w:bidi="ar-SA"/>
        </w:rPr>
        <w:t>所持公司股票在锁定期满后两年内减持的，其减持价格不低于发行价。</w:t>
      </w:r>
      <w:r>
        <w:rPr>
          <w:rFonts w:eastAsiaTheme="minorEastAsia" w:hAnsiTheme="minorHAnsi" w:cstheme="minorBidi"/>
          <w:color w:val="000000"/>
          <w:spacing w:val="6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2020.5.1</w:t>
      </w:r>
    </w:p>
    <w:p>
      <w:pPr>
        <w:framePr w:w="662" w:x="3053" w:y="69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利娟</w:t>
      </w:r>
    </w:p>
    <w:p>
      <w:pPr>
        <w:framePr w:w="7632" w:x="4328" w:y="69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（在公司上市后至上述期间，公司发生派发股利、送红股、转增股本、</w:t>
      </w:r>
      <w:r>
        <w:rPr>
          <w:rFonts w:eastAsiaTheme="minorEastAsia" w:hAnsiTheme="minorHAnsi" w:cstheme="minorBidi"/>
          <w:color w:val="000000"/>
          <w:spacing w:val="6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1-2022.5</w:t>
      </w:r>
    </w:p>
    <w:p>
      <w:pPr>
        <w:framePr w:w="7632" w:x="4328" w:y="6978"/>
        <w:widowControl w:val="0"/>
        <w:autoSpaceDE w:val="0"/>
        <w:autoSpaceDN w:val="0"/>
        <w:spacing w:before="6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增发新股或配股等除息、除权行为，上述发行价格亦将作相应调整）</w:t>
      </w:r>
      <w:r>
        <w:rPr>
          <w:rFonts w:eastAsiaTheme="minorEastAsia" w:hAnsiTheme="minorHAnsi" w:cstheme="minorBidi"/>
          <w:color w:val="000000"/>
          <w:spacing w:val="16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p>
    <w:p>
      <w:pPr>
        <w:framePr w:w="7632" w:x="4328" w:y="697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3"/>
          <w:sz w:val="21"/>
          <w:szCs w:val="22"/>
          <w:lang w:val="en-US" w:eastAsia="en-US" w:bidi="ar-SA"/>
        </w:rPr>
        <w:t>、如中国证监会等主管监管部门认定公司招股说明书有虚假记载、误</w:t>
      </w:r>
      <w:r>
        <w:rPr>
          <w:rFonts w:eastAsiaTheme="minorEastAsia" w:hAnsiTheme="minorHAnsi" w:cstheme="minorBidi"/>
          <w:color w:val="000000"/>
          <w:spacing w:val="1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7632" w:x="4328" w:y="697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导性陈述或重大遗漏，对判断公司是否符合法律规定的发行条件构成</w:t>
      </w:r>
    </w:p>
    <w:p>
      <w:pPr>
        <w:framePr w:w="7632" w:x="4328" w:y="697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重大、实质影响的，控股股东、实际控制人王现全将依法购回已转让</w:t>
      </w:r>
    </w:p>
    <w:p>
      <w:pPr>
        <w:framePr w:w="7632" w:x="4328" w:y="697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的原限售股份，购回价格为发行价（公司本次发行上市后如因资本公</w:t>
      </w:r>
    </w:p>
    <w:p>
      <w:pPr>
        <w:framePr w:w="7632" w:x="4328" w:y="697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积转增股本、派送股票或现金股利、股份拆细、配股或缩股等除权、</w:t>
      </w:r>
    </w:p>
    <w:p>
      <w:pPr>
        <w:framePr w:w="7632" w:x="4328" w:y="6978"/>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除息事项的，须按照证监会、交易所的有关规定作复权处理）加算银</w:t>
      </w:r>
    </w:p>
    <w:p>
      <w:pPr>
        <w:framePr w:w="7632" w:x="4328" w:y="697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行同期存款利息。</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2"/>
          <w:sz w:val="21"/>
          <w:szCs w:val="22"/>
          <w:lang w:val="en-US" w:eastAsia="en-US" w:bidi="ar-SA"/>
        </w:rPr>
        <w:t>、如证监会等主管监管部门认定公司招股说明书存</w:t>
      </w:r>
    </w:p>
    <w:p>
      <w:pPr>
        <w:framePr w:w="7632" w:x="4328" w:y="697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在虚假记载、误导性陈述或重大遗漏，致使投资者在证券交易中遭受</w:t>
      </w:r>
    </w:p>
    <w:p>
      <w:pPr>
        <w:framePr w:w="7632" w:x="4328" w:y="697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损失的，控股股东、实际控制人王现全将依照相关法律、法规规定承</w:t>
      </w:r>
    </w:p>
    <w:p>
      <w:pPr>
        <w:framePr w:w="874" w:x="3053" w:y="75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05" type="#_x0000_t75" style="width:697.6pt;height:2.7pt;margin-top:54.1pt;margin-left:73.75pt;mso-position-horizontal-relative:page;mso-position-vertical-relative:page;position:absolute;z-index:-251435008">
            <v:imagedata r:id="rId74" o:title=""/>
          </v:shape>
        </w:pict>
      </w:r>
      <w:r>
        <w:rPr>
          <w:noProof/>
        </w:rPr>
        <w:pict>
          <v:shape id="_x0000_s1106" type="#_x0000_t75" style="width:782.35pt;height:386.9pt;margin-top:112.35pt;margin-left:32.35pt;mso-position-horizontal-relative:page;mso-position-vertical-relative:page;position:absolute;z-index:-251627520">
            <v:imagedata r:id="rId75" o:title=""/>
          </v:shape>
        </w:pict>
      </w:r>
    </w:p>
    <w:p>
      <w:pPr>
        <w:spacing w:line="0" w:lineRule="atLeast"/>
        <w:rPr>
          <w:rFonts w:ascii="Arial" w:eastAsiaTheme="minorEastAsia" w:hAnsiTheme="minorHAnsi" w:cstheme="minorBidi"/>
          <w:color w:val="FF0000"/>
          <w:sz w:val="2"/>
          <w:szCs w:val="22"/>
          <w:lang w:val="en-US" w:eastAsia="en-US" w:bidi="ar-SA"/>
        </w:rPr>
      </w:pPr>
      <w:bookmarkStart w:id="31" w:name="br1_30"/>
      <w:bookmarkEnd w:id="31"/>
      <w:r>
        <w:rPr>
          <w:rFonts w:ascii="Arial" w:eastAsiaTheme="minorEastAsia" w:hAnsiTheme="minorHAnsi" w:cstheme="minorBidi"/>
          <w:color w:val="FF0000"/>
          <w:sz w:val="2"/>
          <w:szCs w:val="22"/>
          <w:lang w:val="en-US" w:eastAsia="en-US" w:bidi="ar-SA"/>
        </w:rPr>
        <w:t xml:space="preserve"> </w:t>
      </w:r>
    </w:p>
    <w:p>
      <w:pPr>
        <w:framePr w:w="1550" w:x="7796" w:y="85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82" w:x="4328"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担民事赔偿责任，赔偿投资者损失。该等损失的赔偿金额以投资者实</w:t>
      </w:r>
    </w:p>
    <w:p>
      <w:pPr>
        <w:framePr w:w="6682" w:x="4328"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际发生的直接损失为限，包括投资差额损失、投资差额损失部分的佣</w:t>
      </w:r>
    </w:p>
    <w:p>
      <w:pPr>
        <w:framePr w:w="6682" w:x="4328"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金和印花税以及资金利息。具体赔偿方案，包括赔偿标准、赔偿主体</w:t>
      </w:r>
    </w:p>
    <w:p>
      <w:pPr>
        <w:framePr w:w="6682" w:x="4328"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范围、赔偿金额等细节内容待上述情形实际发生时，依据最终确定的</w:t>
      </w:r>
    </w:p>
    <w:p>
      <w:pPr>
        <w:framePr w:w="6682" w:x="4328"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赔偿方案为准。</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3"/>
          <w:sz w:val="21"/>
          <w:szCs w:val="22"/>
          <w:lang w:val="en-US" w:eastAsia="en-US" w:bidi="ar-SA"/>
        </w:rPr>
        <w:t>、控股股东、实际控制人王现全承诺将督促公司履行</w:t>
      </w:r>
    </w:p>
    <w:p>
      <w:pPr>
        <w:framePr w:w="6682" w:x="4328"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回购新股和赔偿义务，具体措施包括但不限于提议董事会审议上述回</w:t>
      </w:r>
    </w:p>
    <w:p>
      <w:pPr>
        <w:framePr w:w="6682" w:x="4328"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购相关股份的议案、因上述事宜审议回购公司股份议案时在相关的董</w:t>
      </w:r>
    </w:p>
    <w:p>
      <w:pPr>
        <w:framePr w:w="6682" w:x="4328"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事会或股东大会中投赞成票等。</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、如未履行回购存量股或赔偿义务，</w:t>
      </w:r>
    </w:p>
    <w:p>
      <w:pPr>
        <w:framePr w:w="6682" w:x="4328"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或因自身原因导致公司未履行上述回购及赔偿义务的，王现全承诺不</w:t>
      </w:r>
    </w:p>
    <w:p>
      <w:pPr>
        <w:framePr w:w="6682" w:x="4328" w:y="1310"/>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转让本人所持有的公司股份，且公司有权扣留全部应付给王现全的现</w:t>
      </w:r>
    </w:p>
    <w:p>
      <w:pPr>
        <w:framePr w:w="6682" w:x="4328"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金红利、股份红利、任职薪酬，直至本人实际履行上述各项承诺的义</w:t>
      </w:r>
    </w:p>
    <w:p>
      <w:pPr>
        <w:framePr w:w="6682" w:x="4328"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务为止。</w:t>
      </w:r>
    </w:p>
    <w:p>
      <w:pPr>
        <w:framePr w:w="9733" w:x="1776" w:y="4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解决同业竞</w:t>
      </w:r>
      <w:r>
        <w:rPr>
          <w:rFonts w:eastAsiaTheme="minorEastAsia" w:hAnsiTheme="minorHAnsi" w:cstheme="minorBidi"/>
          <w:color w:val="000000"/>
          <w:spacing w:val="17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王现全、孙</w:t>
      </w:r>
      <w:r>
        <w:rPr>
          <w:rFonts w:eastAsiaTheme="minorEastAsia" w:hAnsiTheme="minorHAnsi" w:cstheme="minorBidi"/>
          <w:color w:val="000000"/>
          <w:spacing w:val="16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3"/>
          <w:sz w:val="21"/>
          <w:szCs w:val="22"/>
          <w:lang w:val="en-US" w:eastAsia="en-US" w:bidi="ar-SA"/>
        </w:rPr>
        <w:t>、除本公司外，本人尚不存在由本人控制的其他企业。今后亦不会直</w:t>
      </w:r>
      <w:r>
        <w:rPr>
          <w:rFonts w:eastAsiaTheme="minorEastAsia" w:hAnsiTheme="minorHAnsi" w:cstheme="minorBidi"/>
          <w:color w:val="000000"/>
          <w:spacing w:val="1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451" w:x="11982" w:y="4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2974" w:y="4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3968" w:y="4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242" w:y="4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451" w:x="1776" w:y="48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争</w:t>
      </w:r>
    </w:p>
    <w:p>
      <w:pPr>
        <w:framePr w:w="7820" w:x="3053" w:y="48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利娟、陈鸣</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z w:val="21"/>
          <w:szCs w:val="22"/>
          <w:lang w:val="en-US" w:eastAsia="en-US" w:bidi="ar-SA"/>
        </w:rPr>
        <w:t>接或间接地以任何方式（包括但不限于独资、合资、合作和联营）通</w:t>
      </w:r>
    </w:p>
    <w:p>
      <w:pPr>
        <w:framePr w:w="451" w:x="3053" w:y="51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宇</w:t>
      </w:r>
    </w:p>
    <w:p>
      <w:pPr>
        <w:framePr w:w="6682" w:x="4328" w:y="51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过本人控制的其他企业或该企业的下属企业从事与公司及其下属企业</w:t>
      </w:r>
    </w:p>
    <w:p>
      <w:pPr>
        <w:framePr w:w="6682" w:x="4328" w:y="513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所从事的业务有实质性竞争或可能有实质性竞争的业务活动。</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26"/>
          <w:sz w:val="21"/>
          <w:szCs w:val="22"/>
          <w:lang w:val="en-US" w:eastAsia="en-US" w:bidi="ar-SA"/>
        </w:rPr>
        <w:t>、如</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果</w:t>
      </w:r>
    </w:p>
    <w:p>
      <w:pPr>
        <w:framePr w:w="6682" w:x="4328" w:y="513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未来本人控制的其他企业及该企业控制的下属企业所从事的业务或所</w:t>
      </w:r>
    </w:p>
    <w:p>
      <w:pPr>
        <w:framePr w:w="6682" w:x="4328" w:y="513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生产的产品与公司及其下属企业构成竞争关系，本人承诺公司有权按</w:t>
      </w:r>
    </w:p>
    <w:p>
      <w:pPr>
        <w:framePr w:w="6682" w:x="4328" w:y="5134"/>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照自身情况和意愿，采用必要的措施解决同业竞争情形。</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9"/>
          <w:sz w:val="21"/>
          <w:szCs w:val="22"/>
          <w:lang w:val="en-US" w:eastAsia="en-US" w:bidi="ar-SA"/>
        </w:rPr>
        <w:t>、本人</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13"/>
          <w:sz w:val="21"/>
          <w:szCs w:val="22"/>
          <w:lang w:val="en-US" w:eastAsia="en-US" w:bidi="ar-SA"/>
        </w:rPr>
        <w:t>、本</w:t>
      </w:r>
    </w:p>
    <w:p>
      <w:pPr>
        <w:framePr w:w="6682" w:x="4328" w:y="513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人未来可能控制的其他企业及该企业的下属企业不会向业务与公司及</w:t>
      </w:r>
    </w:p>
    <w:p>
      <w:pPr>
        <w:framePr w:w="6682" w:x="4328" w:y="513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其下属企业（含直接或间接控制的企业）所从事的业务构成竞争的其</w:t>
      </w:r>
    </w:p>
    <w:p>
      <w:pPr>
        <w:framePr w:w="6682" w:x="4328" w:y="513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他公司、企业或其他机构、组织、个人提供与该等竞争业务相关的专</w:t>
      </w:r>
    </w:p>
    <w:p>
      <w:pPr>
        <w:framePr w:w="6682" w:x="4328" w:y="513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有技术、商标等知识产权或提供销售渠道、客户信息等商业秘密。</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p>
    <w:p>
      <w:pPr>
        <w:framePr w:w="6682" w:x="4328" w:y="513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本人保证不利用本人所持有的公司股份，从事或参与从事任何有损于</w:t>
      </w:r>
    </w:p>
    <w:p>
      <w:pPr>
        <w:framePr w:w="6682" w:x="4328" w:y="513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公司或公司其他股东合法权益的行为。五、如出现因本人、本人未来</w:t>
      </w:r>
    </w:p>
    <w:p>
      <w:pPr>
        <w:framePr w:w="6682" w:x="4328" w:y="513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可能控制的其他企业和</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或本人未来可能控制其他企业的下属企业违</w:t>
      </w:r>
    </w:p>
    <w:p>
      <w:pPr>
        <w:framePr w:w="6682" w:x="4328" w:y="513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反上述承诺而导致公司及其下属企业的权益受到损害的情况，本人、</w:t>
      </w:r>
    </w:p>
    <w:p>
      <w:pPr>
        <w:framePr w:w="6682" w:x="4328" w:y="5134"/>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本人控制的其他企业和</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或本人控制其他企业的下属企业将承担相应</w:t>
      </w:r>
    </w:p>
    <w:p>
      <w:pPr>
        <w:framePr w:w="6682" w:x="4328" w:y="513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的赔偿责任。</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07" type="#_x0000_t75" style="width:697.6pt;height:2.7pt;margin-top:54.1pt;margin-left:73.75pt;mso-position-horizontal-relative:page;mso-position-vertical-relative:page;position:absolute;z-index:-251433984">
            <v:imagedata r:id="rId76" o:title=""/>
          </v:shape>
        </w:pict>
      </w:r>
      <w:r>
        <w:rPr>
          <w:noProof/>
        </w:rPr>
        <w:pict>
          <v:shape id="_x0000_s1108" type="#_x0000_t75" style="width:782.35pt;height:398.45pt;margin-top:62.55pt;margin-left:32.35pt;mso-position-horizontal-relative:page;mso-position-vertical-relative:page;position:absolute;z-index:-251626496">
            <v:imagedata r:id="rId77" o:title=""/>
          </v:shape>
        </w:pict>
      </w:r>
    </w:p>
    <w:p>
      <w:pPr>
        <w:spacing w:line="0" w:lineRule="atLeast"/>
        <w:rPr>
          <w:rFonts w:ascii="Arial" w:eastAsiaTheme="minorEastAsia" w:hAnsiTheme="minorHAnsi" w:cstheme="minorBidi"/>
          <w:color w:val="FF0000"/>
          <w:sz w:val="2"/>
          <w:szCs w:val="22"/>
          <w:lang w:val="en-US" w:eastAsia="en-US" w:bidi="ar-SA"/>
        </w:rPr>
      </w:pPr>
      <w:bookmarkStart w:id="32" w:name="br1_31"/>
      <w:bookmarkEnd w:id="32"/>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396" w:x="1798" w:y="191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公司资产或项目存在盈利预测，且报告期仍处在盈利预测期间，公司就资产或项目</w:t>
      </w:r>
    </w:p>
    <w:p>
      <w:pPr>
        <w:framePr w:w="8396" w:x="1798" w:y="1910"/>
        <w:widowControl w:val="0"/>
        <w:autoSpaceDE w:val="0"/>
        <w:autoSpaceDN w:val="0"/>
        <w:spacing w:before="29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是否达到原盈利预测及其原因作出说明</w:t>
      </w:r>
    </w:p>
    <w:p>
      <w:pPr>
        <w:framePr w:w="8396" w:x="1798" w:y="191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□已达到</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□未达到</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√不适用</w:t>
      </w:r>
    </w:p>
    <w:p>
      <w:pPr>
        <w:framePr w:w="5235" w:x="1798" w:y="349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业绩承诺的完成情况及其对商誉减值测试的影响</w:t>
      </w:r>
    </w:p>
    <w:p>
      <w:pPr>
        <w:framePr w:w="5235" w:x="1798" w:y="3496"/>
        <w:widowControl w:val="0"/>
        <w:autoSpaceDE w:val="0"/>
        <w:autoSpaceDN w:val="0"/>
        <w:spacing w:before="29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4" w:x="1798" w:y="45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三、报告期内资金被占用情况及清欠进展情况</w:t>
      </w:r>
    </w:p>
    <w:p>
      <w:pPr>
        <w:framePr w:w="4464" w:x="1798" w:y="457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520" w:x="1798" w:y="56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四、公司对会计师事务所“非标准意见审计报告”的说明</w:t>
      </w:r>
    </w:p>
    <w:p>
      <w:pPr>
        <w:framePr w:w="5520" w:x="1798" w:y="562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632" w:x="1798" w:y="6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五、公司对会计政策、会计估计变更或重大会计差错更正原因和影响的分析说明</w:t>
      </w:r>
    </w:p>
    <w:p>
      <w:pPr>
        <w:framePr w:w="7632" w:x="1798" w:y="668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（一）公司对会计政策、会计估计变更原因及影响的分析说明</w:t>
      </w:r>
    </w:p>
    <w:p>
      <w:pPr>
        <w:framePr w:w="7632" w:x="1798" w:y="668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09" w:x="1798" w:y="82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（二）公司对重大会计差错更正原因及影响的分析说明</w:t>
      </w:r>
    </w:p>
    <w:p>
      <w:pPr>
        <w:framePr w:w="5309" w:x="1798" w:y="8271"/>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253" w:x="1798" w:y="93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（三）与前任会计师事务所进行的沟通情况</w:t>
      </w:r>
    </w:p>
    <w:p>
      <w:pPr>
        <w:framePr w:w="4253" w:x="1798" w:y="932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18" w:x="1798" w:y="103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（四）其他说明</w:t>
      </w:r>
    </w:p>
    <w:p>
      <w:pPr>
        <w:framePr w:w="1922" w:x="1798" w:y="109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8" w:x="1798" w:y="114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六、聘任、解聘会计师事务所情况</w:t>
      </w:r>
    </w:p>
    <w:p>
      <w:pPr>
        <w:framePr w:w="2763" w:x="8109" w:y="117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单位：万元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874" w:x="8161" w:y="120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现聘任</w:t>
      </w:r>
    </w:p>
    <w:p>
      <w:pPr>
        <w:framePr w:w="2774" w:x="1798" w:y="123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境内会计师事务所名称</w:t>
      </w:r>
    </w:p>
    <w:p>
      <w:pPr>
        <w:framePr w:w="2774" w:x="1798" w:y="1234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境内会计师事务所报酬</w:t>
      </w:r>
    </w:p>
    <w:p>
      <w:pPr>
        <w:framePr w:w="2774" w:x="1798" w:y="1234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境内会计师事务所审计年限</w:t>
      </w:r>
    </w:p>
    <w:p>
      <w:pPr>
        <w:framePr w:w="3619" w:x="6323" w:y="123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大华会计师事务所（特殊普通合伙）</w:t>
      </w:r>
    </w:p>
    <w:p>
      <w:pPr>
        <w:framePr w:w="768" w:x="10106" w:y="126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50.00</w:t>
      </w:r>
    </w:p>
    <w:p>
      <w:pPr>
        <w:framePr w:w="768" w:x="10106" w:y="12623"/>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662" w:x="5826" w:y="134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662" w:x="9021" w:y="134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报酬</w:t>
      </w:r>
    </w:p>
    <w:p>
      <w:pPr>
        <w:framePr w:w="6164" w:x="1798" w:y="137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3"/>
          <w:sz w:val="21"/>
          <w:szCs w:val="22"/>
          <w:lang w:val="en-US" w:eastAsia="en-US" w:bidi="ar-SA"/>
        </w:rPr>
        <w:t>内部控制审计会计师事务</w:t>
      </w:r>
      <w:r>
        <w:rPr>
          <w:rFonts w:eastAsiaTheme="minorEastAsia" w:hAnsiTheme="minorHAnsi" w:cstheme="minorBidi"/>
          <w:color w:val="000000"/>
          <w:spacing w:val="151"/>
          <w:sz w:val="21"/>
          <w:szCs w:val="22"/>
          <w:lang w:val="en-US" w:eastAsia="en-US" w:bidi="ar-SA"/>
        </w:rPr>
        <w:t xml:space="preserve"> </w:t>
      </w:r>
      <w:r>
        <w:rPr>
          <w:rFonts w:ascii="SimSun" w:hAnsi="SimSun" w:eastAsiaTheme="minorEastAsia" w:cs="SimSun"/>
          <w:color w:val="000000"/>
          <w:spacing w:val="-6"/>
          <w:sz w:val="21"/>
          <w:szCs w:val="22"/>
          <w:lang w:val="en-US" w:eastAsia="en-US" w:bidi="ar-SA"/>
        </w:rPr>
        <w:t>大华会计师事务所（特殊普通合伙）</w:t>
      </w:r>
    </w:p>
    <w:p>
      <w:pPr>
        <w:framePr w:w="6164" w:x="1798" w:y="1375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w:t>
      </w:r>
    </w:p>
    <w:p>
      <w:pPr>
        <w:framePr w:w="768" w:x="10106" w:y="137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15.00</w:t>
      </w:r>
    </w:p>
    <w:p>
      <w:pPr>
        <w:framePr w:w="1085" w:x="1798" w:y="14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财务顾问</w:t>
      </w:r>
    </w:p>
    <w:p>
      <w:pPr>
        <w:framePr w:w="1085" w:x="1798" w:y="1430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保荐人</w:t>
      </w:r>
    </w:p>
    <w:p>
      <w:pPr>
        <w:framePr w:w="451" w:x="4458" w:y="14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451" w:x="4458" w:y="1430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46" w:x="10526" w:y="143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10526" w:y="1430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09" type="#_x0000_t75" style="width:445.6pt;height:2.7pt;margin-top:53.5pt;margin-left:87.45pt;mso-position-horizontal-relative:page;mso-position-vertical-relative:page;position:absolute;z-index:-251305984">
            <v:imagedata r:id="rId78" o:title=""/>
          </v:shape>
        </w:pict>
      </w:r>
      <w:r>
        <w:rPr>
          <w:noProof/>
        </w:rPr>
        <w:pict>
          <v:shape id="_x0000_s1110" type="#_x0000_t75" style="width:454.95pt;height:58.9pt;margin-top:599.95pt;margin-left:83.25pt;mso-position-horizontal-relative:page;mso-position-vertical-relative:page;position:absolute;z-index:-251432960">
            <v:imagedata r:id="rId79" o:title=""/>
          </v:shape>
        </w:pict>
      </w:r>
      <w:r>
        <w:rPr>
          <w:noProof/>
        </w:rPr>
        <w:pict>
          <v:shape id="_x0000_s1111" type="#_x0000_t75" style="width:454.95pt;height:72.55pt;margin-top:670.55pt;margin-left:83.25pt;mso-position-horizontal-relative:page;mso-position-vertical-relative:page;position:absolute;z-index:-251625472">
            <v:imagedata r:id="rId80" o:title=""/>
          </v:shape>
        </w:pict>
      </w:r>
    </w:p>
    <w:p>
      <w:pPr>
        <w:spacing w:line="0" w:lineRule="atLeast"/>
        <w:rPr>
          <w:rFonts w:ascii="Arial" w:eastAsiaTheme="minorEastAsia" w:hAnsiTheme="minorHAnsi" w:cstheme="minorBidi"/>
          <w:color w:val="FF0000"/>
          <w:sz w:val="2"/>
          <w:szCs w:val="22"/>
          <w:lang w:val="en-US" w:eastAsia="en-US" w:bidi="ar-SA"/>
        </w:rPr>
      </w:pPr>
      <w:bookmarkStart w:id="33" w:name="br1_32"/>
      <w:bookmarkEnd w:id="33"/>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61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聘任、解聘会计师事务所的情况说明</w:t>
      </w:r>
    </w:p>
    <w:p>
      <w:pPr>
        <w:framePr w:w="3619" w:x="1798" w:y="1535"/>
        <w:widowControl w:val="0"/>
        <w:autoSpaceDE w:val="0"/>
        <w:autoSpaceDN w:val="0"/>
        <w:spacing w:before="18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8" w:x="1798" w:y="245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经公司第三届董事会第十五次会议审议，并经</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2"/>
          <w:sz w:val="21"/>
          <w:szCs w:val="22"/>
          <w:lang w:val="en-US" w:eastAsia="en-US" w:bidi="ar-SA"/>
        </w:rPr>
        <w:t>年年度股东大会批准，同意续聘大华会计</w:t>
      </w:r>
    </w:p>
    <w:p>
      <w:pPr>
        <w:framePr w:w="9078" w:x="1798" w:y="24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师事务所（特殊普通合伙）为公司</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年度审计机构。</w:t>
      </w:r>
    </w:p>
    <w:p>
      <w:pPr>
        <w:framePr w:w="3830" w:x="1798" w:y="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审计期间改聘会计师事务所的情况说明</w:t>
      </w:r>
    </w:p>
    <w:p>
      <w:pPr>
        <w:framePr w:w="3830" w:x="1798" w:y="339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6" w:x="1798" w:y="44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七、面临暂停上市风险的情况</w:t>
      </w:r>
    </w:p>
    <w:p>
      <w:pPr>
        <w:framePr w:w="2986" w:x="1798" w:y="445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导致暂停上市的原因</w:t>
      </w:r>
    </w:p>
    <w:p>
      <w:pPr>
        <w:framePr w:w="1922" w:x="1798" w:y="55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60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公司拟采取的应对措施</w:t>
      </w:r>
    </w:p>
    <w:p>
      <w:pPr>
        <w:framePr w:w="2774" w:x="1798" w:y="603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70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八、面临终止上市的情况和原因</w:t>
      </w:r>
    </w:p>
    <w:p>
      <w:pPr>
        <w:framePr w:w="3197" w:x="1798" w:y="709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2" w:x="1798" w:y="81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九、破产重整相关事项</w:t>
      </w:r>
    </w:p>
    <w:p>
      <w:pPr>
        <w:framePr w:w="1817" w:x="1798" w:y="86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3" w:x="1798" w:y="92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十、重大诉讼、仲裁事项</w:t>
      </w:r>
    </w:p>
    <w:p>
      <w:pPr>
        <w:framePr w:w="7069" w:x="1798" w:y="97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□本年度公司有重大诉讼、仲裁事项</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z w:val="21"/>
          <w:szCs w:val="22"/>
          <w:lang w:val="en-US" w:eastAsia="en-US" w:bidi="ar-SA"/>
        </w:rPr>
        <w:t>√本年度公司无重大诉讼、仲裁事项</w:t>
      </w:r>
    </w:p>
    <w:p>
      <w:pPr>
        <w:framePr w:w="9110" w:x="1798" w:y="102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十一、上市公司及其董事、监事、高级管理人员、控股股东、实际控制人、收购人处罚及整改情</w:t>
      </w:r>
    </w:p>
    <w:p>
      <w:pPr>
        <w:framePr w:w="9110" w:x="1798" w:y="10265"/>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况</w:t>
      </w:r>
    </w:p>
    <w:p>
      <w:pPr>
        <w:framePr w:w="1817" w:x="1798" w:y="112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154" w:x="1798" w:y="117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十二、报告期内公司及其控股股东、实际控制人诚信状况的说明</w:t>
      </w:r>
    </w:p>
    <w:p>
      <w:pPr>
        <w:framePr w:w="1922" w:x="1798" w:y="122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265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报告期内，公司及公司控股股东、实际控制人未曾收到过证监会及其他有关部门的处罚和上</w:t>
      </w:r>
    </w:p>
    <w:p>
      <w:pPr>
        <w:framePr w:w="9110" w:x="1798" w:y="126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交所的惩戒，经在最高人民法院网站“中国执行信息公开平台”查询，公司及公司实际控制人不</w:t>
      </w:r>
    </w:p>
    <w:p>
      <w:pPr>
        <w:framePr w:w="9110" w:x="1798" w:y="126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属于失信被执行人。</w:t>
      </w:r>
    </w:p>
    <w:p>
      <w:pPr>
        <w:framePr w:w="7421" w:x="1798" w:y="139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十三、公司股权激励计划、员工持股计划或其他员工激励措施的情况及其影响</w:t>
      </w:r>
    </w:p>
    <w:p>
      <w:pPr>
        <w:framePr w:w="6288" w:x="1798" w:y="145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4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相关激励事项已在临时公告披露且后续实施无进展或变化的</w:t>
      </w:r>
    </w:p>
    <w:p>
      <w:pPr>
        <w:framePr w:w="1817" w:x="1798" w:y="150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12" type="#_x0000_t75" style="width:445.6pt;height:2.7pt;margin-top:53.5pt;margin-left:87.45pt;mso-position-horizontal-relative:page;mso-position-vertical-relative:page;position:absolute;z-index:-25162444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34" w:name="br1_33"/>
      <w:bookmarkEnd w:id="34"/>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3805"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事项概述</w:t>
      </w:r>
    </w:p>
    <w:p>
      <w:pPr>
        <w:framePr w:w="1085" w:x="828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查询索引</w:t>
      </w:r>
    </w:p>
    <w:p>
      <w:pPr>
        <w:framePr w:w="9093" w:x="1798"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7</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24</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日，公司召开第三届董事会第十六次</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z w:val="21"/>
          <w:szCs w:val="22"/>
          <w:lang w:val="en-US" w:eastAsia="en-US" w:bidi="ar-SA"/>
        </w:rPr>
        <w:t>具体内容详见公司于</w:t>
      </w:r>
      <w:r>
        <w:rPr>
          <w:rFonts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pacing w:val="37"/>
          <w:sz w:val="21"/>
          <w:szCs w:val="22"/>
          <w:lang w:val="en-US" w:eastAsia="en-US" w:bidi="ar-SA"/>
        </w:rPr>
        <w:t>7</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pacing w:val="-1"/>
          <w:sz w:val="21"/>
          <w:szCs w:val="22"/>
          <w:lang w:val="en-US" w:eastAsia="en-US" w:bidi="ar-SA"/>
        </w:rPr>
        <w:t>日在</w:t>
      </w:r>
    </w:p>
    <w:p>
      <w:pPr>
        <w:framePr w:w="9093" w:x="1798" w:y="182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会议和第三届监事会第十六次会议，审议通过了《关</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z w:val="21"/>
          <w:szCs w:val="22"/>
          <w:lang w:val="en-US" w:eastAsia="en-US" w:bidi="ar-SA"/>
        </w:rPr>
        <w:t>上海证券交易所网站（</w:t>
      </w:r>
      <w:r>
        <w:rPr>
          <w:rFonts w:ascii="SimSun" w:eastAsiaTheme="minorEastAsia" w:hAnsiTheme="minorHAnsi" w:cstheme="minorBidi"/>
          <w:color w:val="000000"/>
          <w:sz w:val="21"/>
          <w:szCs w:val="22"/>
          <w:lang w:val="en-US" w:eastAsia="en-US" w:bidi="ar-SA"/>
        </w:rPr>
        <w:t>www.sse.com.cn</w:t>
      </w:r>
      <w:r>
        <w:rPr>
          <w:rFonts w:ascii="SimSun" w:hAnsi="SimSun" w:eastAsiaTheme="minorEastAsia" w:cs="SimSun"/>
          <w:color w:val="000000"/>
          <w:sz w:val="21"/>
          <w:szCs w:val="22"/>
          <w:lang w:val="en-US" w:eastAsia="en-US" w:bidi="ar-SA"/>
        </w:rPr>
        <w:t>）</w:t>
      </w:r>
    </w:p>
    <w:p>
      <w:pPr>
        <w:framePr w:w="9093" w:x="1798" w:y="182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于公司</w:t>
      </w:r>
      <w:r>
        <w:rPr>
          <w:rFonts w:ascii="SimSun" w:eastAsiaTheme="minorEastAsia" w:hAnsiTheme="minorHAnsi" w:cstheme="minorBidi"/>
          <w:color w:val="000000"/>
          <w:sz w:val="21"/>
          <w:szCs w:val="22"/>
          <w:lang w:val="en-US" w:eastAsia="en-US" w:bidi="ar-SA"/>
        </w:rPr>
        <w:t>&lt;2020</w:t>
      </w:r>
      <w:r>
        <w:rPr>
          <w:rFonts w:ascii="SimSun" w:hAnsi="SimSun" w:eastAsiaTheme="minorEastAsia" w:cs="SimSun"/>
          <w:color w:val="000000"/>
          <w:spacing w:val="-2"/>
          <w:sz w:val="21"/>
          <w:szCs w:val="22"/>
          <w:lang w:val="en-US" w:eastAsia="en-US" w:bidi="ar-SA"/>
        </w:rPr>
        <w:t>年限制性股票激励计划（草案）</w:t>
      </w:r>
      <w:r>
        <w:rPr>
          <w:rFonts w:ascii="SimSun" w:eastAsiaTheme="minorEastAsia" w:hAnsiTheme="minorHAnsi" w:cstheme="minorBidi"/>
          <w:color w:val="000000"/>
          <w:spacing w:val="1"/>
          <w:sz w:val="21"/>
          <w:szCs w:val="22"/>
          <w:lang w:val="en-US" w:eastAsia="en-US" w:bidi="ar-SA"/>
        </w:rPr>
        <w:t>&gt;</w:t>
      </w:r>
      <w:r>
        <w:rPr>
          <w:rFonts w:ascii="SimSun" w:hAnsi="SimSun" w:eastAsiaTheme="minorEastAsia" w:cs="SimSun"/>
          <w:color w:val="000000"/>
          <w:spacing w:val="-1"/>
          <w:sz w:val="21"/>
          <w:szCs w:val="22"/>
          <w:lang w:val="en-US" w:eastAsia="en-US" w:bidi="ar-SA"/>
        </w:rPr>
        <w:t>及其摘</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z w:val="21"/>
          <w:szCs w:val="22"/>
          <w:lang w:val="en-US" w:eastAsia="en-US" w:bidi="ar-SA"/>
        </w:rPr>
        <w:t>披露的相关公告。</w:t>
      </w:r>
    </w:p>
    <w:p>
      <w:pPr>
        <w:framePr w:w="9093" w:x="1798" w:y="182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要的议案》及相关事项的议案。</w:t>
      </w:r>
    </w:p>
    <w:p>
      <w:pPr>
        <w:framePr w:w="9093" w:x="1798" w:y="29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7</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pacing w:val="1"/>
          <w:sz w:val="21"/>
          <w:szCs w:val="22"/>
          <w:lang w:val="en-US" w:eastAsia="en-US" w:bidi="ar-SA"/>
        </w:rPr>
        <w:t>日至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pacing w:val="-4"/>
          <w:sz w:val="21"/>
          <w:szCs w:val="22"/>
          <w:lang w:val="en-US" w:eastAsia="en-US" w:bidi="ar-SA"/>
        </w:rPr>
        <w:t>日，公司对本次授</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z w:val="21"/>
          <w:szCs w:val="22"/>
          <w:lang w:val="en-US" w:eastAsia="en-US" w:bidi="ar-SA"/>
        </w:rPr>
        <w:t>具体内容详见公司于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8</w:t>
      </w:r>
      <w:r>
        <w:rPr>
          <w:rFonts w:ascii="SimSun" w:hAnsi="SimSun" w:eastAsiaTheme="minorEastAsia" w:cs="SimSun"/>
          <w:color w:val="000000"/>
          <w:spacing w:val="-1"/>
          <w:sz w:val="21"/>
          <w:szCs w:val="22"/>
          <w:lang w:val="en-US" w:eastAsia="en-US" w:bidi="ar-SA"/>
        </w:rPr>
        <w:t>日在</w:t>
      </w:r>
    </w:p>
    <w:p>
      <w:pPr>
        <w:framePr w:w="9093" w:x="1798" w:y="292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予激励对象的名单在公司内部进行了公示，在公示期</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z w:val="21"/>
          <w:szCs w:val="22"/>
          <w:lang w:val="en-US" w:eastAsia="en-US" w:bidi="ar-SA"/>
        </w:rPr>
        <w:t>上海证券交易所网站（</w:t>
      </w:r>
      <w:r>
        <w:rPr>
          <w:rFonts w:ascii="SimSun" w:eastAsiaTheme="minorEastAsia" w:hAnsiTheme="minorHAnsi" w:cstheme="minorBidi"/>
          <w:color w:val="000000"/>
          <w:sz w:val="21"/>
          <w:szCs w:val="22"/>
          <w:lang w:val="en-US" w:eastAsia="en-US" w:bidi="ar-SA"/>
        </w:rPr>
        <w:t>www.sse.com.cn</w:t>
      </w:r>
      <w:r>
        <w:rPr>
          <w:rFonts w:ascii="SimSun" w:hAnsi="SimSun" w:eastAsiaTheme="minorEastAsia" w:cs="SimSun"/>
          <w:color w:val="000000"/>
          <w:sz w:val="21"/>
          <w:szCs w:val="22"/>
          <w:lang w:val="en-US" w:eastAsia="en-US" w:bidi="ar-SA"/>
        </w:rPr>
        <w:t>）</w:t>
      </w:r>
    </w:p>
    <w:p>
      <w:pPr>
        <w:framePr w:w="9093" w:x="1798" w:y="292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内，公司监事会未接到与激励计划拟激励对象有关的</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z w:val="21"/>
          <w:szCs w:val="22"/>
          <w:lang w:val="en-US" w:eastAsia="en-US" w:bidi="ar-SA"/>
        </w:rPr>
        <w:t>披露的相关公告。</w:t>
      </w:r>
    </w:p>
    <w:p>
      <w:pPr>
        <w:framePr w:w="9093" w:x="1798" w:y="292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任何异议。公司于</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pacing w:val="-5"/>
          <w:sz w:val="21"/>
          <w:szCs w:val="22"/>
          <w:lang w:val="en-US" w:eastAsia="en-US" w:bidi="ar-SA"/>
        </w:rPr>
        <w:t>日披露了《公司监事</w:t>
      </w:r>
    </w:p>
    <w:p>
      <w:pPr>
        <w:framePr w:w="4969" w:x="1798" w:y="4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会关于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年限制性股票激励计划授予日激励对象</w:t>
      </w:r>
    </w:p>
    <w:p>
      <w:pPr>
        <w:framePr w:w="3197" w:x="1798" w:y="42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名单的公示说明和核查意见》。</w:t>
      </w:r>
    </w:p>
    <w:p>
      <w:pPr>
        <w:framePr w:w="9093" w:x="1798" w:y="45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w:t>
      </w:r>
      <w:r>
        <w:rPr>
          <w:rFonts w:ascii="SimSun" w:hAnsi="SimSun" w:eastAsiaTheme="minorEastAsia" w:cs="SimSun"/>
          <w:color w:val="000000"/>
          <w:spacing w:val="-5"/>
          <w:sz w:val="21"/>
          <w:szCs w:val="22"/>
          <w:lang w:val="en-US" w:eastAsia="en-US" w:bidi="ar-SA"/>
        </w:rPr>
        <w:t>日，公司召开</w:t>
      </w:r>
      <w:r>
        <w:rPr>
          <w:rFonts w:eastAsiaTheme="minorEastAsia" w:hAnsiTheme="minorHAnsi" w:cstheme="minorBidi"/>
          <w:color w:val="000000"/>
          <w:spacing w:val="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年第一次临时股东</w:t>
      </w:r>
      <w:r>
        <w:rPr>
          <w:rFonts w:eastAsiaTheme="minorEastAsia" w:hAnsiTheme="minorHAnsi" w:cstheme="minorBidi"/>
          <w:color w:val="000000"/>
          <w:spacing w:val="163"/>
          <w:sz w:val="21"/>
          <w:szCs w:val="22"/>
          <w:lang w:val="en-US" w:eastAsia="en-US" w:bidi="ar-SA"/>
        </w:rPr>
        <w:t xml:space="preserve"> </w:t>
      </w:r>
      <w:r>
        <w:rPr>
          <w:rFonts w:ascii="SimSun" w:hAnsi="SimSun" w:eastAsiaTheme="minorEastAsia" w:cs="SimSun"/>
          <w:color w:val="000000"/>
          <w:sz w:val="21"/>
          <w:szCs w:val="22"/>
          <w:lang w:val="en-US" w:eastAsia="en-US" w:bidi="ar-SA"/>
        </w:rPr>
        <w:t>具体内容详见公司于</w:t>
      </w:r>
      <w:r>
        <w:rPr>
          <w:rFonts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pacing w:val="37"/>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w:t>
      </w:r>
      <w:r>
        <w:rPr>
          <w:rFonts w:ascii="SimSun" w:hAnsi="SimSun" w:eastAsiaTheme="minorEastAsia" w:cs="SimSun"/>
          <w:color w:val="000000"/>
          <w:spacing w:val="-1"/>
          <w:sz w:val="21"/>
          <w:szCs w:val="22"/>
          <w:lang w:val="en-US" w:eastAsia="en-US" w:bidi="ar-SA"/>
        </w:rPr>
        <w:t>日在</w:t>
      </w:r>
    </w:p>
    <w:p>
      <w:pPr>
        <w:framePr w:w="9093" w:x="1798" w:y="457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大会，审议通过了《关于公司</w:t>
      </w:r>
      <w:r>
        <w:rPr>
          <w:rFonts w:ascii="SimSun" w:eastAsiaTheme="minorEastAsia" w:hAnsiTheme="minorHAnsi" w:cstheme="minorBidi"/>
          <w:color w:val="000000"/>
          <w:sz w:val="21"/>
          <w:szCs w:val="22"/>
          <w:lang w:val="en-US" w:eastAsia="en-US" w:bidi="ar-SA"/>
        </w:rPr>
        <w:t>&lt;2020</w:t>
      </w:r>
      <w:r>
        <w:rPr>
          <w:rFonts w:ascii="SimSun" w:hAnsi="SimSun" w:eastAsiaTheme="minorEastAsia" w:cs="SimSun"/>
          <w:color w:val="000000"/>
          <w:sz w:val="21"/>
          <w:szCs w:val="22"/>
          <w:lang w:val="en-US" w:eastAsia="en-US" w:bidi="ar-SA"/>
        </w:rPr>
        <w:t>年限制性股票激</w:t>
      </w:r>
      <w:r>
        <w:rPr>
          <w:rFonts w:eastAsiaTheme="minorEastAsia" w:hAnsiTheme="minorHAnsi" w:cstheme="minorBidi"/>
          <w:color w:val="000000"/>
          <w:spacing w:val="237"/>
          <w:sz w:val="21"/>
          <w:szCs w:val="22"/>
          <w:lang w:val="en-US" w:eastAsia="en-US" w:bidi="ar-SA"/>
        </w:rPr>
        <w:t xml:space="preserve"> </w:t>
      </w:r>
      <w:r>
        <w:rPr>
          <w:rFonts w:ascii="SimSun" w:hAnsi="SimSun" w:eastAsiaTheme="minorEastAsia" w:cs="SimSun"/>
          <w:color w:val="000000"/>
          <w:sz w:val="21"/>
          <w:szCs w:val="22"/>
          <w:lang w:val="en-US" w:eastAsia="en-US" w:bidi="ar-SA"/>
        </w:rPr>
        <w:t>上海证券交易所网站（</w:t>
      </w:r>
      <w:r>
        <w:rPr>
          <w:rFonts w:ascii="SimSun" w:eastAsiaTheme="minorEastAsia" w:hAnsiTheme="minorHAnsi" w:cstheme="minorBidi"/>
          <w:color w:val="000000"/>
          <w:sz w:val="21"/>
          <w:szCs w:val="22"/>
          <w:lang w:val="en-US" w:eastAsia="en-US" w:bidi="ar-SA"/>
        </w:rPr>
        <w:t>www.sse.com.cn</w:t>
      </w:r>
      <w:r>
        <w:rPr>
          <w:rFonts w:ascii="SimSun" w:hAnsi="SimSun" w:eastAsiaTheme="minorEastAsia" w:cs="SimSun"/>
          <w:color w:val="000000"/>
          <w:sz w:val="21"/>
          <w:szCs w:val="22"/>
          <w:lang w:val="en-US" w:eastAsia="en-US" w:bidi="ar-SA"/>
        </w:rPr>
        <w:t>）</w:t>
      </w:r>
    </w:p>
    <w:p>
      <w:pPr>
        <w:framePr w:w="9093" w:x="1798" w:y="457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励计划（草案）</w:t>
      </w:r>
      <w:r>
        <w:rPr>
          <w:rFonts w:ascii="SimSun" w:eastAsiaTheme="minorEastAsia" w:hAnsiTheme="minorHAnsi" w:cstheme="minorBidi"/>
          <w:color w:val="000000"/>
          <w:spacing w:val="-2"/>
          <w:sz w:val="21"/>
          <w:szCs w:val="22"/>
          <w:lang w:val="en-US" w:eastAsia="en-US" w:bidi="ar-SA"/>
        </w:rPr>
        <w:t>&gt;</w:t>
      </w:r>
      <w:r>
        <w:rPr>
          <w:rFonts w:ascii="SimSun" w:hAnsi="SimSun" w:eastAsiaTheme="minorEastAsia" w:cs="SimSun"/>
          <w:color w:val="000000"/>
          <w:spacing w:val="-6"/>
          <w:sz w:val="21"/>
          <w:szCs w:val="22"/>
          <w:lang w:val="en-US" w:eastAsia="en-US" w:bidi="ar-SA"/>
        </w:rPr>
        <w:t>及其摘要的议案》、《关于公司</w:t>
      </w:r>
      <w:r>
        <w:rPr>
          <w:rFonts w:eastAsiaTheme="minorEastAsia" w:hAnsiTheme="minorHAnsi" w:cstheme="minorBidi"/>
          <w:color w:val="000000"/>
          <w:spacing w:val="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eastAsiaTheme="minorEastAsia" w:hAnsiTheme="minorHAnsi" w:cstheme="minorBidi"/>
          <w:color w:val="000000"/>
          <w:spacing w:val="110"/>
          <w:sz w:val="21"/>
          <w:szCs w:val="22"/>
          <w:lang w:val="en-US" w:eastAsia="en-US" w:bidi="ar-SA"/>
        </w:rPr>
        <w:t xml:space="preserve"> </w:t>
      </w:r>
      <w:r>
        <w:rPr>
          <w:rFonts w:ascii="SimSun" w:hAnsi="SimSun" w:eastAsiaTheme="minorEastAsia" w:cs="SimSun"/>
          <w:color w:val="000000"/>
          <w:sz w:val="21"/>
          <w:szCs w:val="22"/>
          <w:lang w:val="en-US" w:eastAsia="en-US" w:bidi="ar-SA"/>
        </w:rPr>
        <w:t>披露的相关公告。</w:t>
      </w:r>
    </w:p>
    <w:p>
      <w:pPr>
        <w:framePr w:w="9093" w:x="1798" w:y="4572"/>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年限制性股票激励计划实施考核管理办法的议案》及</w:t>
      </w:r>
    </w:p>
    <w:p>
      <w:pPr>
        <w:framePr w:w="5098" w:x="1798" w:y="56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《关于提请股东大会授权董事会办理股权激励相关事</w:t>
      </w:r>
    </w:p>
    <w:p>
      <w:pPr>
        <w:framePr w:w="1507" w:x="1798" w:y="59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宜的议案》。</w:t>
      </w:r>
    </w:p>
    <w:p>
      <w:pPr>
        <w:framePr w:w="9093" w:x="1798" w:y="62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pacing w:val="-2"/>
          <w:sz w:val="21"/>
          <w:szCs w:val="22"/>
          <w:lang w:val="en-US" w:eastAsia="en-US" w:bidi="ar-SA"/>
        </w:rPr>
        <w:t>日，公司召开第三届董事会第十八次会</w:t>
      </w:r>
      <w:r>
        <w:rPr>
          <w:rFonts w:eastAsiaTheme="minorEastAsia" w:hAnsiTheme="minorHAnsi" w:cstheme="minorBidi"/>
          <w:color w:val="000000"/>
          <w:spacing w:val="165"/>
          <w:sz w:val="21"/>
          <w:szCs w:val="22"/>
          <w:lang w:val="en-US" w:eastAsia="en-US" w:bidi="ar-SA"/>
        </w:rPr>
        <w:t xml:space="preserve"> </w:t>
      </w:r>
      <w:r>
        <w:rPr>
          <w:rFonts w:ascii="SimSun" w:hAnsi="SimSun" w:eastAsiaTheme="minorEastAsia" w:cs="SimSun"/>
          <w:color w:val="000000"/>
          <w:sz w:val="21"/>
          <w:szCs w:val="22"/>
          <w:lang w:val="en-US" w:eastAsia="en-US" w:bidi="ar-SA"/>
        </w:rPr>
        <w:t>具体内容详见公司于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pacing w:val="-1"/>
          <w:sz w:val="21"/>
          <w:szCs w:val="22"/>
          <w:lang w:val="en-US" w:eastAsia="en-US" w:bidi="ar-SA"/>
        </w:rPr>
        <w:t>日在</w:t>
      </w:r>
    </w:p>
    <w:p>
      <w:pPr>
        <w:framePr w:w="9093" w:x="1798" w:y="621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议和第三届监事会第十八次会议，审议通过了《关于</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z w:val="21"/>
          <w:szCs w:val="22"/>
          <w:lang w:val="en-US" w:eastAsia="en-US" w:bidi="ar-SA"/>
        </w:rPr>
        <w:t>上海证券交易所网站（</w:t>
      </w:r>
      <w:r>
        <w:rPr>
          <w:rFonts w:ascii="SimSun" w:eastAsiaTheme="minorEastAsia" w:hAnsiTheme="minorHAnsi" w:cstheme="minorBidi"/>
          <w:color w:val="000000"/>
          <w:sz w:val="21"/>
          <w:szCs w:val="22"/>
          <w:lang w:val="en-US" w:eastAsia="en-US" w:bidi="ar-SA"/>
        </w:rPr>
        <w:t>www.sse.com.cn</w:t>
      </w:r>
      <w:r>
        <w:rPr>
          <w:rFonts w:ascii="SimSun" w:hAnsi="SimSun" w:eastAsiaTheme="minorEastAsia" w:cs="SimSun"/>
          <w:color w:val="000000"/>
          <w:sz w:val="21"/>
          <w:szCs w:val="22"/>
          <w:lang w:val="en-US" w:eastAsia="en-US" w:bidi="ar-SA"/>
        </w:rPr>
        <w:t>）</w:t>
      </w:r>
    </w:p>
    <w:p>
      <w:pPr>
        <w:framePr w:w="5098" w:x="1798" w:y="67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向激励对象授予限制性股票的议案》，确定以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p>
    <w:p>
      <w:pPr>
        <w:framePr w:w="5098" w:x="1798" w:y="676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日作为本激励计划的授予日，按</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7.91</w:t>
      </w:r>
      <w:r>
        <w:rPr>
          <w:rFonts w:ascii="SimSun" w:hAnsi="SimSun" w:eastAsiaTheme="minorEastAsia" w:cs="SimSun"/>
          <w:color w:val="000000"/>
          <w:spacing w:val="2"/>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股</w:t>
      </w:r>
    </w:p>
    <w:p>
      <w:pPr>
        <w:framePr w:w="5098" w:x="1798" w:y="6761"/>
        <w:widowControl w:val="0"/>
        <w:autoSpaceDE w:val="0"/>
        <w:autoSpaceDN w:val="0"/>
        <w:spacing w:before="6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的授予价格向符合授予条件的</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34</w:t>
      </w:r>
      <w:r>
        <w:rPr>
          <w:rFonts w:ascii="SimSun" w:hAnsi="SimSun" w:eastAsiaTheme="minorEastAsia" w:cs="SimSun"/>
          <w:color w:val="000000"/>
          <w:sz w:val="21"/>
          <w:szCs w:val="22"/>
          <w:lang w:val="en-US" w:eastAsia="en-US" w:bidi="ar-SA"/>
        </w:rPr>
        <w:t>名激励对象授予</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169</w:t>
      </w:r>
    </w:p>
    <w:p>
      <w:pPr>
        <w:framePr w:w="5098" w:x="1798" w:y="676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万股限制性股票。并披露了《关于公司</w:t>
      </w:r>
      <w:r>
        <w:rPr>
          <w:rFonts w:eastAsiaTheme="minorEastAsia" w:hAnsiTheme="minorHAnsi" w:cstheme="minorBidi"/>
          <w:color w:val="000000"/>
          <w:spacing w:val="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年限制性</w:t>
      </w:r>
    </w:p>
    <w:p>
      <w:pPr>
        <w:framePr w:w="5098" w:x="1798" w:y="676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股票激励计划内幕信息知情人买卖公司股票情况的自</w:t>
      </w:r>
    </w:p>
    <w:p>
      <w:pPr>
        <w:framePr w:w="5098" w:x="1798" w:y="676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查报告》。</w:t>
      </w:r>
    </w:p>
    <w:p>
      <w:pPr>
        <w:framePr w:w="1930" w:x="6868" w:y="67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披露的相关公告。</w:t>
      </w:r>
    </w:p>
    <w:p>
      <w:pPr>
        <w:framePr w:w="9093" w:x="1798" w:y="8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日，公司在中国证券登记结算有限责</w:t>
      </w:r>
      <w:r>
        <w:rPr>
          <w:rFonts w:eastAsiaTheme="minorEastAsia" w:hAnsiTheme="minorHAnsi" w:cstheme="minorBidi"/>
          <w:color w:val="000000"/>
          <w:spacing w:val="237"/>
          <w:sz w:val="21"/>
          <w:szCs w:val="22"/>
          <w:lang w:val="en-US" w:eastAsia="en-US" w:bidi="ar-SA"/>
        </w:rPr>
        <w:t xml:space="preserve"> </w:t>
      </w:r>
      <w:r>
        <w:rPr>
          <w:rFonts w:ascii="SimSun" w:hAnsi="SimSun" w:eastAsiaTheme="minorEastAsia" w:cs="SimSun"/>
          <w:color w:val="000000"/>
          <w:sz w:val="21"/>
          <w:szCs w:val="22"/>
          <w:lang w:val="en-US" w:eastAsia="en-US" w:bidi="ar-SA"/>
        </w:rPr>
        <w:t>具体内容详见公司于</w:t>
      </w:r>
      <w:r>
        <w:rPr>
          <w:rFonts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pacing w:val="37"/>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w:t>
      </w:r>
      <w:r>
        <w:rPr>
          <w:rFonts w:ascii="SimSun" w:hAnsi="SimSun" w:eastAsiaTheme="minorEastAsia" w:cs="SimSun"/>
          <w:color w:val="000000"/>
          <w:spacing w:val="-1"/>
          <w:sz w:val="21"/>
          <w:szCs w:val="22"/>
          <w:lang w:val="en-US" w:eastAsia="en-US" w:bidi="ar-SA"/>
        </w:rPr>
        <w:t>日在</w:t>
      </w:r>
    </w:p>
    <w:p>
      <w:pPr>
        <w:framePr w:w="9093" w:x="1798" w:y="840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任公司上海分公司办理完成了公司</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年限制性股</w:t>
      </w:r>
      <w:r>
        <w:rPr>
          <w:rFonts w:eastAsiaTheme="minorEastAsia" w:hAnsiTheme="minorHAnsi" w:cstheme="minorBidi"/>
          <w:color w:val="000000"/>
          <w:spacing w:val="290"/>
          <w:sz w:val="21"/>
          <w:szCs w:val="22"/>
          <w:lang w:val="en-US" w:eastAsia="en-US" w:bidi="ar-SA"/>
        </w:rPr>
        <w:t xml:space="preserve"> </w:t>
      </w:r>
      <w:r>
        <w:rPr>
          <w:rFonts w:ascii="SimSun" w:hAnsi="SimSun" w:eastAsiaTheme="minorEastAsia" w:cs="SimSun"/>
          <w:color w:val="000000"/>
          <w:sz w:val="21"/>
          <w:szCs w:val="22"/>
          <w:lang w:val="en-US" w:eastAsia="en-US" w:bidi="ar-SA"/>
        </w:rPr>
        <w:t>上海证券交易所网站（</w:t>
      </w:r>
      <w:r>
        <w:rPr>
          <w:rFonts w:ascii="SimSun" w:eastAsiaTheme="minorEastAsia" w:hAnsiTheme="minorHAnsi" w:cstheme="minorBidi"/>
          <w:color w:val="000000"/>
          <w:sz w:val="21"/>
          <w:szCs w:val="22"/>
          <w:lang w:val="en-US" w:eastAsia="en-US" w:bidi="ar-SA"/>
        </w:rPr>
        <w:t>www.sse.com.cn</w:t>
      </w:r>
      <w:r>
        <w:rPr>
          <w:rFonts w:ascii="SimSun" w:hAnsi="SimSun" w:eastAsiaTheme="minorEastAsia" w:cs="SimSun"/>
          <w:color w:val="000000"/>
          <w:sz w:val="21"/>
          <w:szCs w:val="22"/>
          <w:lang w:val="en-US" w:eastAsia="en-US" w:bidi="ar-SA"/>
        </w:rPr>
        <w:t>）</w:t>
      </w:r>
    </w:p>
    <w:p>
      <w:pPr>
        <w:framePr w:w="6992" w:x="1798" w:y="89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票激励计划授予限制性股票的登记工作，向</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34</w:t>
      </w:r>
      <w:r>
        <w:rPr>
          <w:rFonts w:ascii="SimSun" w:hAnsi="SimSun" w:eastAsiaTheme="minorEastAsia" w:cs="SimSun"/>
          <w:color w:val="000000"/>
          <w:spacing w:val="-1"/>
          <w:sz w:val="21"/>
          <w:szCs w:val="22"/>
          <w:lang w:val="en-US" w:eastAsia="en-US" w:bidi="ar-SA"/>
        </w:rPr>
        <w:t>名激励</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z w:val="21"/>
          <w:szCs w:val="22"/>
          <w:lang w:val="en-US" w:eastAsia="en-US" w:bidi="ar-SA"/>
        </w:rPr>
        <w:t>披露的相关公告。</w:t>
      </w:r>
    </w:p>
    <w:p>
      <w:pPr>
        <w:framePr w:w="6992" w:x="1798" w:y="895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对象授予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z w:val="21"/>
          <w:szCs w:val="22"/>
          <w:lang w:val="en-US" w:eastAsia="en-US" w:bidi="ar-SA"/>
        </w:rPr>
        <w:t>万股限制性股票，并取得了中国证券登</w:t>
      </w:r>
    </w:p>
    <w:p>
      <w:pPr>
        <w:framePr w:w="6992" w:x="1798" w:y="895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记结算有限公司上海分公司出具的《证券变更登记证</w:t>
      </w:r>
    </w:p>
    <w:p>
      <w:pPr>
        <w:framePr w:w="6992" w:x="1798" w:y="895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明》。</w:t>
      </w:r>
    </w:p>
    <w:p>
      <w:pPr>
        <w:framePr w:w="4603" w:x="1798" w:y="10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4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临时公告未披露或有后续进展的激励情况</w:t>
      </w:r>
    </w:p>
    <w:p>
      <w:pPr>
        <w:framePr w:w="1507" w:x="1798" w:y="107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股权激励情况</w:t>
      </w:r>
    </w:p>
    <w:p>
      <w:pPr>
        <w:framePr w:w="1817" w:x="1798" w:y="113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130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930" w:x="1798" w:y="123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0" w:x="1798" w:y="1236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员工持股计划情况</w:t>
      </w:r>
    </w:p>
    <w:p>
      <w:pPr>
        <w:framePr w:w="1930" w:x="1798" w:y="1236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0" w:x="1798" w:y="1236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其他激励措施</w:t>
      </w:r>
    </w:p>
    <w:p>
      <w:pPr>
        <w:framePr w:w="1817" w:x="1798" w:y="144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13" type="#_x0000_t75" style="width:445.6pt;height:2.7pt;margin-top:53.5pt;margin-left:87.45pt;mso-position-horizontal-relative:page;mso-position-vertical-relative:page;position:absolute;z-index:-251431936">
            <v:imagedata r:id="rId81" o:title=""/>
          </v:shape>
        </w:pict>
      </w:r>
      <w:r>
        <w:rPr>
          <w:noProof/>
        </w:rPr>
        <w:pict>
          <v:shape id="_x0000_s1114" type="#_x0000_t75" style="width:451pt;height:427.7pt;margin-top:74.3pt;margin-left:83.25pt;mso-position-horizontal-relative:page;mso-position-vertical-relative:page;position:absolute;z-index:-251623424">
            <v:imagedata r:id="rId82" o:title=""/>
          </v:shape>
        </w:pict>
      </w:r>
    </w:p>
    <w:p>
      <w:pPr>
        <w:spacing w:line="0" w:lineRule="atLeast"/>
        <w:rPr>
          <w:rFonts w:ascii="Arial" w:eastAsiaTheme="minorEastAsia" w:hAnsiTheme="minorHAnsi" w:cstheme="minorBidi"/>
          <w:color w:val="FF0000"/>
          <w:sz w:val="2"/>
          <w:szCs w:val="22"/>
          <w:lang w:val="en-US" w:eastAsia="en-US" w:bidi="ar-SA"/>
        </w:rPr>
      </w:pPr>
      <w:bookmarkStart w:id="35" w:name="br1_34"/>
      <w:bookmarkEnd w:id="35"/>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141"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十四、重大关联交易</w:t>
      </w:r>
    </w:p>
    <w:p>
      <w:pPr>
        <w:framePr w:w="3190" w:x="1798" w:y="204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与日常经营相关的关联交易</w:t>
      </w:r>
    </w:p>
    <w:p>
      <w:pPr>
        <w:framePr w:w="5299"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已在临时公告披露且后续实施无进展或变化的事项</w:t>
      </w:r>
    </w:p>
    <w:p>
      <w:pPr>
        <w:framePr w:w="5299"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19"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已在临时公告披露，但有后续实施的进展或变化的事项</w:t>
      </w:r>
    </w:p>
    <w:p>
      <w:pPr>
        <w:framePr w:w="5719" w:x="1798" w:y="365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临时公告未披露的事项</w:t>
      </w:r>
    </w:p>
    <w:p>
      <w:pPr>
        <w:framePr w:w="1817" w:x="1798" w:y="5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299"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pacing w:val="5"/>
          <w:sz w:val="21"/>
          <w:szCs w:val="22"/>
          <w:lang w:val="en-US" w:eastAsia="en-US" w:bidi="ar-SA"/>
        </w:rPr>
        <w:t>)</w:t>
      </w:r>
      <w:r>
        <w:rPr>
          <w:rFonts w:ascii="SimSun" w:hAnsi="SimSun" w:eastAsiaTheme="minorEastAsia" w:cs="SimSun"/>
          <w:color w:val="000000"/>
          <w:spacing w:val="1"/>
          <w:sz w:val="21"/>
          <w:szCs w:val="22"/>
          <w:lang w:val="en-US" w:eastAsia="en-US" w:bidi="ar-SA"/>
        </w:rPr>
        <w:t>资产或股权收购、出售发生的关联交易</w:t>
      </w:r>
    </w:p>
    <w:p>
      <w:pPr>
        <w:framePr w:w="5299"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已在临时公告披露且后续实施无进展或变化的事项</w:t>
      </w:r>
    </w:p>
    <w:p>
      <w:pPr>
        <w:framePr w:w="5299" w:x="1798" w:y="5765"/>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19" w:x="1798" w:y="7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已在临时公告披露，但有后续实施的进展或变化的事项</w:t>
      </w:r>
    </w:p>
    <w:p>
      <w:pPr>
        <w:framePr w:w="5719"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84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临时公告未披露的事项</w:t>
      </w:r>
    </w:p>
    <w:p>
      <w:pPr>
        <w:framePr w:w="1817" w:x="1798" w:y="8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508" w:x="1798" w:y="94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涉及业绩约定的，应当披露报告期内的业绩实现情况</w:t>
      </w:r>
    </w:p>
    <w:p>
      <w:pPr>
        <w:framePr w:w="5508" w:x="1798" w:y="94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299" w:x="1798" w:y="1050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共同对外投资的重大关联交易</w:t>
      </w:r>
    </w:p>
    <w:p>
      <w:pPr>
        <w:framePr w:w="5299" w:x="1798" w:y="10503"/>
        <w:widowControl w:val="0"/>
        <w:autoSpaceDE w:val="0"/>
        <w:autoSpaceDN w:val="0"/>
        <w:spacing w:before="29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已在临时公告披露且后续实施无进展或变化的事项</w:t>
      </w:r>
    </w:p>
    <w:p>
      <w:pPr>
        <w:framePr w:w="5299" w:x="1798" w:y="1050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19" w:x="1798" w:y="121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已在临时公告披露，但有后续实施的进展或变化的事项</w:t>
      </w:r>
    </w:p>
    <w:p>
      <w:pPr>
        <w:framePr w:w="5719" w:x="1798" w:y="121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13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临时公告未披露的事项</w:t>
      </w:r>
    </w:p>
    <w:p>
      <w:pPr>
        <w:framePr w:w="1817" w:x="1798" w:y="136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15" type="#_x0000_t75" style="width:445.6pt;height:2.7pt;margin-top:53.5pt;margin-left:87.45pt;mso-position-horizontal-relative:page;mso-position-vertical-relative:page;position:absolute;z-index:-25162240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36" w:name="br1_35"/>
      <w:bookmarkEnd w:id="36"/>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350" w:x="1798" w:y="151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四</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关联债权债务往来</w:t>
      </w:r>
    </w:p>
    <w:p>
      <w:pPr>
        <w:framePr w:w="5299"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已在临时公告披露且后续实施无进展或变化的事项</w:t>
      </w:r>
    </w:p>
    <w:p>
      <w:pPr>
        <w:framePr w:w="5299"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19" w:x="1798"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已在临时公告披露，但有后续实施的进展或变化的事项</w:t>
      </w:r>
    </w:p>
    <w:p>
      <w:pPr>
        <w:framePr w:w="5719" w:x="1798" w:y="31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临时公告未披露的事项</w:t>
      </w:r>
    </w:p>
    <w:p>
      <w:pPr>
        <w:framePr w:w="2770" w:x="1798" w:y="417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2" w:x="1798" w:y="521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五</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6" w:x="1798" w:y="6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十五、重大合同及其履行情况</w:t>
      </w:r>
    </w:p>
    <w:p>
      <w:pPr>
        <w:framePr w:w="662" w:x="1798" w:y="68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z w:val="21"/>
          <w:szCs w:val="22"/>
          <w:lang w:val="en-US" w:eastAsia="en-US" w:bidi="ar-SA"/>
        </w:rPr>
        <w:t>)</w:t>
      </w:r>
    </w:p>
    <w:p>
      <w:pPr>
        <w:framePr w:w="2352" w:x="2638" w:y="6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托管、承包、租赁事项</w:t>
      </w:r>
    </w:p>
    <w:p>
      <w:pPr>
        <w:framePr w:w="1505" w:x="1798" w:y="7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托管情况</w:t>
      </w:r>
    </w:p>
    <w:p>
      <w:pPr>
        <w:framePr w:w="1817" w:x="1798" w:y="7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承包情况</w:t>
      </w:r>
    </w:p>
    <w:p>
      <w:pPr>
        <w:framePr w:w="1817" w:x="1798" w:y="8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8936"/>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租赁情况</w:t>
      </w:r>
    </w:p>
    <w:p>
      <w:pPr>
        <w:framePr w:w="1817" w:x="1798"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798" w:y="1052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z w:val="21"/>
          <w:szCs w:val="22"/>
          <w:lang w:val="en-US" w:eastAsia="en-US" w:bidi="ar-SA"/>
        </w:rPr>
        <w:t>)</w:t>
      </w:r>
    </w:p>
    <w:p>
      <w:pPr>
        <w:framePr w:w="1085" w:x="2638" w:y="105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担保情况</w:t>
      </w:r>
    </w:p>
    <w:p>
      <w:pPr>
        <w:framePr w:w="1817" w:x="1798" w:y="108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759" w:x="4112" w:y="11127"/>
        <w:widowControl w:val="0"/>
        <w:autoSpaceDE w:val="0"/>
        <w:autoSpaceDN w:val="0"/>
        <w:spacing w:line="211" w:lineRule="exact"/>
        <w:ind w:left="399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万元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人民币</w:t>
      </w:r>
    </w:p>
    <w:p>
      <w:pPr>
        <w:framePr w:w="6759" w:x="4112" w:y="11127"/>
        <w:widowControl w:val="0"/>
        <w:autoSpaceDE w:val="0"/>
        <w:autoSpaceDN w:val="0"/>
        <w:spacing w:before="8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公司对外担保情况（不包括对子公司的担保）</w:t>
      </w:r>
    </w:p>
    <w:p>
      <w:pPr>
        <w:framePr w:w="662" w:x="2475" w:y="11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662" w:x="2475" w:y="1171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方与</w:t>
      </w:r>
    </w:p>
    <w:p>
      <w:pPr>
        <w:framePr w:w="662" w:x="4429" w:y="11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662" w:x="4429" w:y="1171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发生</w:t>
      </w:r>
    </w:p>
    <w:p>
      <w:pPr>
        <w:framePr w:w="662" w:x="6940" w:y="11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1291" w:x="8894" w:y="119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是否</w:t>
      </w:r>
    </w:p>
    <w:p>
      <w:pPr>
        <w:framePr w:w="1291" w:x="5055" w:y="121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担保</w:t>
      </w:r>
    </w:p>
    <w:p>
      <w:pPr>
        <w:framePr w:w="1291" w:x="5055" w:y="12121"/>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起始</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到期</w:t>
      </w:r>
    </w:p>
    <w:p>
      <w:pPr>
        <w:framePr w:w="1291" w:x="6940" w:y="121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担保</w:t>
      </w:r>
    </w:p>
    <w:p>
      <w:pPr>
        <w:framePr w:w="1291" w:x="6940" w:y="12121"/>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已经</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是否</w:t>
      </w:r>
    </w:p>
    <w:p>
      <w:pPr>
        <w:framePr w:w="1291" w:x="6940" w:y="1212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履行</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逾期</w:t>
      </w:r>
    </w:p>
    <w:p>
      <w:pPr>
        <w:framePr w:w="1291" w:x="6940" w:y="1212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完毕</w:t>
      </w:r>
    </w:p>
    <w:p>
      <w:pPr>
        <w:framePr w:w="3233" w:x="1858" w:y="122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r>
        <w:rPr>
          <w:rFonts w:eastAsiaTheme="minorEastAsia" w:hAnsiTheme="minorHAnsi" w:cstheme="minorBidi"/>
          <w:color w:val="000000"/>
          <w:spacing w:val="14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上市</w:t>
      </w:r>
      <w:r>
        <w:rPr>
          <w:rFonts w:eastAsiaTheme="minorEastAsia" w:hAnsiTheme="minorHAnsi" w:cstheme="minorBidi"/>
          <w:color w:val="000000"/>
          <w:spacing w:val="15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被担</w:t>
      </w:r>
      <w:r>
        <w:rPr>
          <w:rFonts w:eastAsiaTheme="minorEastAsia" w:hAnsiTheme="minorHAnsi" w:cstheme="minorBidi"/>
          <w:color w:val="000000"/>
          <w:spacing w:val="8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担保金</w:t>
      </w:r>
      <w:r>
        <w:rPr>
          <w:rFonts w:eastAsiaTheme="minorEastAsia" w:hAnsiTheme="minorHAnsi" w:cstheme="minorBidi"/>
          <w:color w:val="000000"/>
          <w:spacing w:val="8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日期</w:t>
      </w:r>
    </w:p>
    <w:p>
      <w:pPr>
        <w:framePr w:w="662" w:x="6311" w:y="122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662" w:x="6311" w:y="12258"/>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类型</w:t>
      </w:r>
    </w:p>
    <w:p>
      <w:pPr>
        <w:framePr w:w="2681" w:x="8125" w:y="122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担保逾</w:t>
      </w:r>
      <w:r>
        <w:rPr>
          <w:rFonts w:eastAsiaTheme="minorEastAsia" w:hAnsiTheme="minorHAnsi" w:cstheme="minorBidi"/>
          <w:color w:val="000000"/>
          <w:spacing w:val="8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存在</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为关</w:t>
      </w:r>
      <w:r>
        <w:rPr>
          <w:rFonts w:eastAsiaTheme="minorEastAsia" w:hAnsiTheme="minorHAnsi" w:cstheme="minorBidi"/>
          <w:color w:val="000000"/>
          <w:spacing w:val="14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w:t>
      </w:r>
    </w:p>
    <w:p>
      <w:pPr>
        <w:framePr w:w="2681" w:x="8125" w:y="12258"/>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期金额</w:t>
      </w:r>
      <w:r>
        <w:rPr>
          <w:rFonts w:eastAsiaTheme="minorEastAsia" w:hAnsiTheme="minorHAnsi" w:cstheme="minorBidi"/>
          <w:color w:val="000000"/>
          <w:spacing w:val="8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反担</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联方</w:t>
      </w:r>
      <w:r>
        <w:rPr>
          <w:rFonts w:eastAsiaTheme="minorEastAsia" w:hAnsiTheme="minorHAnsi" w:cstheme="minorBidi"/>
          <w:color w:val="000000"/>
          <w:spacing w:val="14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关系</w:t>
      </w:r>
    </w:p>
    <w:p>
      <w:pPr>
        <w:framePr w:w="451" w:x="1964" w:y="125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方</w:t>
      </w:r>
    </w:p>
    <w:p>
      <w:pPr>
        <w:framePr w:w="1289" w:x="2475" w:y="125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w:t>
      </w:r>
      <w:r>
        <w:rPr>
          <w:rFonts w:eastAsiaTheme="minorEastAsia" w:hAnsiTheme="minorHAnsi" w:cstheme="minorBidi"/>
          <w:color w:val="000000"/>
          <w:spacing w:val="15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保方</w:t>
      </w:r>
    </w:p>
    <w:p>
      <w:pPr>
        <w:framePr w:w="1289" w:x="2475" w:y="1252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的关</w:t>
      </w:r>
    </w:p>
    <w:p>
      <w:pPr>
        <w:framePr w:w="1274" w:x="3870" w:y="125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r>
        <w:rPr>
          <w:rFonts w:eastAsiaTheme="minorEastAsia" w:hAnsiTheme="minorHAnsi" w:cstheme="minorBidi"/>
          <w:color w:val="000000"/>
          <w:spacing w:val="24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协议</w:t>
      </w:r>
    </w:p>
    <w:p>
      <w:pPr>
        <w:framePr w:w="1274" w:x="3870" w:y="12529"/>
        <w:widowControl w:val="0"/>
        <w:autoSpaceDE w:val="0"/>
        <w:autoSpaceDN w:val="0"/>
        <w:spacing w:before="62" w:line="211" w:lineRule="exact"/>
        <w:ind w:left="55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签署</w:t>
      </w:r>
    </w:p>
    <w:p>
      <w:pPr>
        <w:framePr w:w="451" w:x="5161" w:y="126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w:t>
      </w:r>
    </w:p>
    <w:p>
      <w:pPr>
        <w:framePr w:w="451" w:x="5787" w:y="126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w:t>
      </w:r>
    </w:p>
    <w:p>
      <w:pPr>
        <w:framePr w:w="451" w:x="9000" w:y="128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w:t>
      </w:r>
    </w:p>
    <w:p>
      <w:pPr>
        <w:framePr w:w="662" w:x="9523" w:y="128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451" w:x="2578" w:y="130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系</w:t>
      </w:r>
    </w:p>
    <w:p>
      <w:pPr>
        <w:framePr w:w="557" w:x="4482" w:y="130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日</w:t>
      </w:r>
      <w:r>
        <w:rPr>
          <w:rFonts w:ascii="SimSun" w:eastAsiaTheme="minorEastAsia" w:hAnsiTheme="minorHAnsi" w:cstheme="minorBidi"/>
          <w:color w:val="000000"/>
          <w:sz w:val="21"/>
          <w:szCs w:val="22"/>
          <w:lang w:val="en-US" w:eastAsia="en-US" w:bidi="ar-SA"/>
        </w:rPr>
        <w:t>)</w:t>
      </w:r>
    </w:p>
    <w:p>
      <w:pPr>
        <w:framePr w:w="4042" w:x="1798" w:y="139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报告期内担保发生额合计（不包括对子公</w:t>
      </w:r>
    </w:p>
    <w:p>
      <w:pPr>
        <w:framePr w:w="4042" w:x="1798" w:y="1396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司的担保）</w:t>
      </w:r>
    </w:p>
    <w:p>
      <w:pPr>
        <w:framePr w:w="346" w:x="10442" w:y="1396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0442" w:y="13962"/>
        <w:widowControl w:val="0"/>
        <w:autoSpaceDE w:val="0"/>
        <w:autoSpaceDN w:val="0"/>
        <w:spacing w:before="34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936" w:x="1798" w:y="145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报告期末担保余额合计（</w:t>
      </w:r>
      <w:r>
        <w:rPr>
          <w:rFonts w:ascii="SimSun" w:eastAsiaTheme="minorEastAsia" w:hAnsiTheme="minorHAnsi" w:cstheme="minorBidi"/>
          <w:color w:val="000000"/>
          <w:spacing w:val="-2"/>
          <w:sz w:val="21"/>
          <w:szCs w:val="22"/>
          <w:lang w:val="en-US" w:eastAsia="en-US" w:bidi="ar-SA"/>
        </w:rPr>
        <w:t>A</w:t>
      </w:r>
      <w:r>
        <w:rPr>
          <w:rFonts w:ascii="SimSun" w:hAnsi="SimSun" w:eastAsiaTheme="minorEastAsia" w:cs="SimSun"/>
          <w:color w:val="000000"/>
          <w:sz w:val="21"/>
          <w:szCs w:val="22"/>
          <w:lang w:val="en-US" w:eastAsia="en-US" w:bidi="ar-SA"/>
        </w:rPr>
        <w:t>）（不包括对</w:t>
      </w:r>
    </w:p>
    <w:p>
      <w:pPr>
        <w:framePr w:w="3936" w:x="1798" w:y="1451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子公司的担保）</w:t>
      </w:r>
    </w:p>
    <w:p>
      <w:pPr>
        <w:framePr w:w="3619" w:x="4491" w:y="150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公司及其子公司对子公司的担保情况</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16" type="#_x0000_t75" style="width:445.6pt;height:2.7pt;margin-top:53.5pt;margin-left:87.45pt;mso-position-horizontal-relative:page;mso-position-vertical-relative:page;position:absolute;z-index:-251430912">
            <v:imagedata r:id="rId83" o:title=""/>
          </v:shape>
        </w:pict>
      </w:r>
      <w:r>
        <w:rPr>
          <w:noProof/>
        </w:rPr>
        <w:pict>
          <v:shape id="_x0000_s1117" type="#_x0000_t75" style="width:447.3pt;height:201.6pt;margin-top:567.45pt;margin-left:87.1pt;mso-position-horizontal-relative:page;mso-position-vertical-relative:page;position:absolute;z-index:-251621376">
            <v:imagedata r:id="rId84" o:title=""/>
          </v:shape>
        </w:pict>
      </w:r>
    </w:p>
    <w:p>
      <w:pPr>
        <w:spacing w:line="0" w:lineRule="atLeast"/>
        <w:rPr>
          <w:rFonts w:ascii="Arial" w:eastAsiaTheme="minorEastAsia" w:hAnsiTheme="minorHAnsi" w:cstheme="minorBidi"/>
          <w:color w:val="FF0000"/>
          <w:sz w:val="2"/>
          <w:szCs w:val="22"/>
          <w:lang w:val="en-US" w:eastAsia="en-US" w:bidi="ar-SA"/>
        </w:rPr>
      </w:pPr>
      <w:bookmarkStart w:id="37" w:name="br1_36"/>
      <w:bookmarkEnd w:id="37"/>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408"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报告期内对子公司担保发生额合计</w:t>
      </w:r>
    </w:p>
    <w:p>
      <w:pPr>
        <w:framePr w:w="1190" w:x="960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12,941.50</w:t>
      </w:r>
    </w:p>
    <w:p>
      <w:pPr>
        <w:framePr w:w="1190" w:x="9602" w:y="1547"/>
        <w:widowControl w:val="0"/>
        <w:autoSpaceDE w:val="0"/>
        <w:autoSpaceDN w:val="0"/>
        <w:spacing w:before="106"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7,526.50</w:t>
      </w:r>
    </w:p>
    <w:p>
      <w:pPr>
        <w:framePr w:w="3725" w:x="1798" w:y="1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报告期末对子公司担保余额合计（</w:t>
      </w:r>
      <w:r>
        <w:rPr>
          <w:rFonts w:ascii="SimSun" w:eastAsiaTheme="minorEastAsia" w:hAnsiTheme="minorHAnsi" w:cstheme="minorBidi"/>
          <w:color w:val="000000"/>
          <w:spacing w:val="-2"/>
          <w:sz w:val="21"/>
          <w:szCs w:val="22"/>
          <w:lang w:val="en-US" w:eastAsia="en-US" w:bidi="ar-SA"/>
        </w:rPr>
        <w:t>B</w:t>
      </w:r>
      <w:r>
        <w:rPr>
          <w:rFonts w:ascii="SimSun" w:hAnsi="SimSun" w:eastAsiaTheme="minorEastAsia" w:cs="SimSun"/>
          <w:color w:val="000000"/>
          <w:sz w:val="21"/>
          <w:szCs w:val="22"/>
          <w:lang w:val="en-US" w:eastAsia="en-US" w:bidi="ar-SA"/>
        </w:rPr>
        <w:t>）</w:t>
      </w:r>
    </w:p>
    <w:p>
      <w:pPr>
        <w:framePr w:w="4253" w:x="4177" w:y="22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公司担保总额情况（包括对子公司的担保）</w:t>
      </w:r>
    </w:p>
    <w:p>
      <w:pPr>
        <w:framePr w:w="1824" w:x="1798" w:y="2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担保总额（</w:t>
      </w:r>
      <w:r>
        <w:rPr>
          <w:rFonts w:ascii="SimSun" w:eastAsiaTheme="minorEastAsia" w:hAnsiTheme="minorHAnsi" w:cstheme="minorBidi"/>
          <w:color w:val="000000"/>
          <w:sz w:val="21"/>
          <w:szCs w:val="22"/>
          <w:lang w:val="en-US" w:eastAsia="en-US" w:bidi="ar-SA"/>
        </w:rPr>
        <w:t>A+B</w:t>
      </w:r>
      <w:r>
        <w:rPr>
          <w:rFonts w:ascii="SimSun" w:hAnsi="SimSun" w:eastAsiaTheme="minorEastAsia" w:cs="SimSun"/>
          <w:color w:val="000000"/>
          <w:sz w:val="21"/>
          <w:szCs w:val="22"/>
          <w:lang w:val="en-US" w:eastAsia="en-US" w:bidi="ar-SA"/>
        </w:rPr>
        <w:t>）</w:t>
      </w:r>
    </w:p>
    <w:p>
      <w:pPr>
        <w:framePr w:w="1085" w:x="9708" w:y="25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7,526.50</w:t>
      </w:r>
    </w:p>
    <w:p>
      <w:pPr>
        <w:framePr w:w="1085" w:x="9708" w:y="2500"/>
        <w:widowControl w:val="0"/>
        <w:autoSpaceDE w:val="0"/>
        <w:autoSpaceDN w:val="0"/>
        <w:spacing w:before="269"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4.42</w:t>
      </w:r>
    </w:p>
    <w:p>
      <w:pPr>
        <w:framePr w:w="3302" w:x="1798" w:y="29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担保总额占公司净资产的比例</w:t>
      </w:r>
      <w:r>
        <w:rPr>
          <w:rFonts w:ascii="SimSun" w:eastAsiaTheme="minorEastAsia" w:hAnsiTheme="minorHAnsi" w:cstheme="minorBidi"/>
          <w:color w:val="000000"/>
          <w:spacing w:val="-1"/>
          <w:sz w:val="21"/>
          <w:szCs w:val="22"/>
          <w:lang w:val="en-US" w:eastAsia="en-US" w:bidi="ar-SA"/>
        </w:rPr>
        <w:t>(%)</w:t>
      </w:r>
    </w:p>
    <w:p>
      <w:pPr>
        <w:framePr w:w="874" w:x="1798" w:y="3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4042" w:x="1798" w:y="36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为股东、实际控制人及其关联方提供担保</w:t>
      </w:r>
    </w:p>
    <w:p>
      <w:pPr>
        <w:framePr w:w="4042" w:x="1798" w:y="361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的金额（</w:t>
      </w:r>
      <w:r>
        <w:rPr>
          <w:rFonts w:ascii="SimSun" w:eastAsiaTheme="minorEastAsia" w:hAnsiTheme="minorHAnsi" w:cstheme="minorBidi"/>
          <w:color w:val="000000"/>
          <w:spacing w:val="-2"/>
          <w:sz w:val="21"/>
          <w:szCs w:val="22"/>
          <w:lang w:val="en-US" w:eastAsia="en-US" w:bidi="ar-SA"/>
        </w:rPr>
        <w:t>C</w:t>
      </w:r>
      <w:r>
        <w:rPr>
          <w:rFonts w:ascii="SimSun" w:hAnsi="SimSun" w:eastAsiaTheme="minorEastAsia" w:cs="SimSun"/>
          <w:color w:val="000000"/>
          <w:sz w:val="21"/>
          <w:szCs w:val="22"/>
          <w:lang w:val="en-US" w:eastAsia="en-US" w:bidi="ar-SA"/>
        </w:rPr>
        <w:t>）</w:t>
      </w:r>
    </w:p>
    <w:p>
      <w:pPr>
        <w:framePr w:w="346" w:x="10442" w:y="36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0442" w:y="3617"/>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4042" w:x="1798" w:y="41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直接或间接为资产负债率超过</w:t>
      </w:r>
      <w:r>
        <w:rPr>
          <w:rFonts w:ascii="SimSun" w:eastAsiaTheme="minorEastAsia" w:hAnsiTheme="minorHAnsi" w:cstheme="minorBidi"/>
          <w:color w:val="000000"/>
          <w:sz w:val="21"/>
          <w:szCs w:val="22"/>
          <w:lang w:val="en-US" w:eastAsia="en-US" w:bidi="ar-SA"/>
        </w:rPr>
        <w:t>70%</w:t>
      </w:r>
      <w:r>
        <w:rPr>
          <w:rFonts w:ascii="SimSun" w:hAnsi="SimSun" w:eastAsiaTheme="minorEastAsia" w:cs="SimSun"/>
          <w:color w:val="000000"/>
          <w:sz w:val="21"/>
          <w:szCs w:val="22"/>
          <w:lang w:val="en-US" w:eastAsia="en-US" w:bidi="ar-SA"/>
        </w:rPr>
        <w:t>的被担</w:t>
      </w:r>
    </w:p>
    <w:p>
      <w:pPr>
        <w:framePr w:w="4042" w:x="1798" w:y="417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保对象提供的债务担保金额（</w:t>
      </w:r>
      <w:r>
        <w:rPr>
          <w:rFonts w:ascii="SimSun" w:eastAsiaTheme="minorEastAsia" w:hAnsiTheme="minorHAnsi" w:cstheme="minorBidi"/>
          <w:color w:val="000000"/>
          <w:spacing w:val="-2"/>
          <w:sz w:val="21"/>
          <w:szCs w:val="22"/>
          <w:lang w:val="en-US" w:eastAsia="en-US" w:bidi="ar-SA"/>
        </w:rPr>
        <w:t>D</w:t>
      </w:r>
      <w:r>
        <w:rPr>
          <w:rFonts w:ascii="SimSun" w:hAnsi="SimSun" w:eastAsiaTheme="minorEastAsia" w:cs="SimSun"/>
          <w:color w:val="000000"/>
          <w:sz w:val="21"/>
          <w:szCs w:val="22"/>
          <w:lang w:val="en-US" w:eastAsia="en-US" w:bidi="ar-SA"/>
        </w:rPr>
        <w:t>）</w:t>
      </w:r>
    </w:p>
    <w:p>
      <w:pPr>
        <w:framePr w:w="4042" w:x="1798" w:y="417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担保总额超过净资产</w:t>
      </w:r>
      <w:r>
        <w:rPr>
          <w:rFonts w:ascii="SimSun" w:eastAsiaTheme="minorEastAsia" w:hAnsiTheme="minorHAnsi" w:cstheme="minorBidi"/>
          <w:color w:val="000000"/>
          <w:sz w:val="21"/>
          <w:szCs w:val="22"/>
          <w:lang w:val="en-US" w:eastAsia="en-US" w:bidi="ar-SA"/>
        </w:rPr>
        <w:t>50%</w:t>
      </w:r>
      <w:r>
        <w:rPr>
          <w:rFonts w:ascii="SimSun" w:hAnsi="SimSun" w:eastAsiaTheme="minorEastAsia" w:cs="SimSun"/>
          <w:color w:val="000000"/>
          <w:sz w:val="21"/>
          <w:szCs w:val="22"/>
          <w:lang w:val="en-US" w:eastAsia="en-US" w:bidi="ar-SA"/>
        </w:rPr>
        <w:t>部分的金额（</w:t>
      </w:r>
      <w:r>
        <w:rPr>
          <w:rFonts w:ascii="SimSun" w:eastAsiaTheme="minorEastAsia" w:hAnsiTheme="minorHAnsi" w:cstheme="minorBidi"/>
          <w:color w:val="000000"/>
          <w:spacing w:val="1"/>
          <w:sz w:val="21"/>
          <w:szCs w:val="22"/>
          <w:lang w:val="en-US" w:eastAsia="en-US" w:bidi="ar-SA"/>
        </w:rPr>
        <w:t>E</w:t>
      </w:r>
      <w:r>
        <w:rPr>
          <w:rFonts w:ascii="SimSun" w:hAnsi="SimSun" w:eastAsiaTheme="minorEastAsia" w:cs="SimSun"/>
          <w:color w:val="000000"/>
          <w:sz w:val="21"/>
          <w:szCs w:val="22"/>
          <w:lang w:val="en-US" w:eastAsia="en-US" w:bidi="ar-SA"/>
        </w:rPr>
        <w:t>）</w:t>
      </w:r>
    </w:p>
    <w:p>
      <w:pPr>
        <w:framePr w:w="346" w:x="10442" w:y="47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0442" w:y="4725"/>
        <w:widowControl w:val="0"/>
        <w:autoSpaceDE w:val="0"/>
        <w:autoSpaceDN w:val="0"/>
        <w:spacing w:before="10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830" w:x="1798" w:y="5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上述三项担保金额合计（</w:t>
      </w:r>
      <w:r>
        <w:rPr>
          <w:rFonts w:ascii="SimSun" w:eastAsiaTheme="minorEastAsia" w:hAnsiTheme="minorHAnsi" w:cstheme="minorBidi"/>
          <w:color w:val="000000"/>
          <w:sz w:val="21"/>
          <w:szCs w:val="22"/>
          <w:lang w:val="en-US" w:eastAsia="en-US" w:bidi="ar-SA"/>
        </w:rPr>
        <w:t>C+D+E</w:t>
      </w:r>
      <w:r>
        <w:rPr>
          <w:rFonts w:ascii="SimSun" w:hAnsi="SimSun" w:eastAsiaTheme="minorEastAsia" w:cs="SimSun"/>
          <w:color w:val="000000"/>
          <w:sz w:val="21"/>
          <w:szCs w:val="22"/>
          <w:lang w:val="en-US" w:eastAsia="en-US" w:bidi="ar-SA"/>
        </w:rPr>
        <w:t>）</w:t>
      </w:r>
    </w:p>
    <w:p>
      <w:pPr>
        <w:framePr w:w="3830" w:x="1798" w:y="5061"/>
        <w:widowControl w:val="0"/>
        <w:autoSpaceDE w:val="0"/>
        <w:autoSpaceDN w:val="0"/>
        <w:spacing w:before="10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未到期担保可能承担连带清偿责任说明</w:t>
      </w:r>
    </w:p>
    <w:p>
      <w:pPr>
        <w:framePr w:w="3830" w:x="1798" w:y="5061"/>
        <w:widowControl w:val="0"/>
        <w:autoSpaceDE w:val="0"/>
        <w:autoSpaceDN w:val="0"/>
        <w:spacing w:before="8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担保情况说明</w:t>
      </w:r>
    </w:p>
    <w:p>
      <w:pPr>
        <w:framePr w:w="451" w:x="10420" w:y="53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451" w:x="10420" w:y="56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662" w:x="1798" w:y="639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三</w:t>
      </w:r>
      <w:r>
        <w:rPr>
          <w:rFonts w:ascii="SimSun" w:eastAsiaTheme="minorEastAsia" w:hAnsiTheme="minorHAnsi" w:cstheme="minorBidi"/>
          <w:color w:val="000000"/>
          <w:sz w:val="21"/>
          <w:szCs w:val="22"/>
          <w:lang w:val="en-US" w:eastAsia="en-US" w:bidi="ar-SA"/>
        </w:rPr>
        <w:t>)</w:t>
      </w:r>
    </w:p>
    <w:p>
      <w:pPr>
        <w:framePr w:w="3408" w:x="2638"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委托他人进行现金资产管理的情况</w:t>
      </w:r>
    </w:p>
    <w:p>
      <w:pPr>
        <w:framePr w:w="2290" w:x="1798" w:y="69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委托理财情况</w:t>
      </w:r>
    </w:p>
    <w:p>
      <w:pPr>
        <w:framePr w:w="2290" w:x="1798" w:y="691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r>
        <w:rPr>
          <w:rFonts w:ascii="SimSun" w:hAnsi="SimSun" w:eastAsiaTheme="minorEastAsia" w:cs="SimSun"/>
          <w:color w:val="000000"/>
          <w:spacing w:val="1"/>
          <w:sz w:val="21"/>
          <w:szCs w:val="22"/>
          <w:lang w:val="en-US" w:eastAsia="en-US" w:bidi="ar-SA"/>
        </w:rPr>
        <w:t>委托理财总体情况</w:t>
      </w:r>
    </w:p>
    <w:p>
      <w:pPr>
        <w:framePr w:w="2290" w:x="1798" w:y="691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63" w:x="8109" w:y="82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单位：万元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763" w:x="8109" w:y="8249"/>
        <w:widowControl w:val="0"/>
        <w:autoSpaceDE w:val="0"/>
        <w:autoSpaceDN w:val="0"/>
        <w:spacing w:before="72" w:line="211" w:lineRule="exact"/>
        <w:ind w:left="75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逾期未收回金额</w:t>
      </w:r>
    </w:p>
    <w:p>
      <w:pPr>
        <w:framePr w:w="662" w:x="2451" w:y="85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类型</w:t>
      </w:r>
    </w:p>
    <w:p>
      <w:pPr>
        <w:framePr w:w="1405" w:x="3466" w:y="8532"/>
        <w:widowControl w:val="0"/>
        <w:autoSpaceDE w:val="0"/>
        <w:autoSpaceDN w:val="0"/>
        <w:spacing w:line="211" w:lineRule="exact"/>
        <w:ind w:left="3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资金来源</w:t>
      </w:r>
    </w:p>
    <w:p>
      <w:pPr>
        <w:framePr w:w="1405" w:x="3466" w:y="853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自有资金</w:t>
      </w:r>
    </w:p>
    <w:p>
      <w:pPr>
        <w:framePr w:w="874" w:x="5595" w:y="85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发生额</w:t>
      </w:r>
    </w:p>
    <w:p>
      <w:pPr>
        <w:framePr w:w="1512" w:x="7086" w:y="85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未到期余额</w:t>
      </w:r>
    </w:p>
    <w:p>
      <w:pPr>
        <w:framePr w:w="1512" w:x="7086" w:y="8532"/>
        <w:widowControl w:val="0"/>
        <w:autoSpaceDE w:val="0"/>
        <w:autoSpaceDN w:val="0"/>
        <w:spacing w:before="70" w:line="211" w:lineRule="exact"/>
        <w:ind w:left="43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7,000.00</w:t>
      </w:r>
    </w:p>
    <w:p>
      <w:pPr>
        <w:framePr w:w="1507" w:x="1798" w:y="8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银行理财产品</w:t>
      </w:r>
    </w:p>
    <w:p>
      <w:pPr>
        <w:framePr w:w="1190" w:x="5708" w:y="88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28,480.00</w:t>
      </w:r>
    </w:p>
    <w:p>
      <w:pPr>
        <w:framePr w:w="346" w:x="10526" w:y="88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1085" w:x="1798" w:y="9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其他情况</w:t>
      </w:r>
    </w:p>
    <w:p>
      <w:pPr>
        <w:framePr w:w="1922" w:x="1798" w:y="9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003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4</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w:t>
      </w:r>
      <w:r>
        <w:rPr>
          <w:rFonts w:ascii="SimSun" w:hAnsi="SimSun" w:eastAsiaTheme="minorEastAsia" w:cs="SimSun"/>
          <w:color w:val="000000"/>
          <w:sz w:val="21"/>
          <w:szCs w:val="22"/>
          <w:lang w:val="en-US" w:eastAsia="en-US" w:bidi="ar-SA"/>
        </w:rPr>
        <w:t>日召开第三届董事会第十五次会议，审议通过了《关于公司及子公司</w:t>
      </w:r>
    </w:p>
    <w:p>
      <w:pPr>
        <w:framePr w:w="9110" w:x="1798" w:y="100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使用自有资金进行现金管理的议案》，同意公司及子公司使用不超过</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35,000</w:t>
      </w:r>
      <w:r>
        <w:rPr>
          <w:rFonts w:ascii="SimSun" w:hAnsi="SimSun" w:eastAsiaTheme="minorEastAsia" w:cs="SimSun"/>
          <w:color w:val="000000"/>
          <w:sz w:val="21"/>
          <w:szCs w:val="22"/>
          <w:lang w:val="en-US" w:eastAsia="en-US" w:bidi="ar-SA"/>
        </w:rPr>
        <w:t>万元的自有资金购买</w:t>
      </w:r>
    </w:p>
    <w:p>
      <w:pPr>
        <w:framePr w:w="9110" w:x="1798" w:y="1003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银行、基金公司、证券公司等金融机构理财产品，在上述额度内资金可循环使用。</w:t>
      </w:r>
    </w:p>
    <w:p>
      <w:pPr>
        <w:framePr w:w="2290" w:x="1798" w:y="113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r>
        <w:rPr>
          <w:rFonts w:ascii="SimSun" w:hAnsi="SimSun" w:eastAsiaTheme="minorEastAsia" w:cs="SimSun"/>
          <w:color w:val="000000"/>
          <w:spacing w:val="1"/>
          <w:sz w:val="21"/>
          <w:szCs w:val="22"/>
          <w:lang w:val="en-US" w:eastAsia="en-US" w:bidi="ar-SA"/>
        </w:rPr>
        <w:t>单项委托理财情况</w:t>
      </w:r>
    </w:p>
    <w:p>
      <w:pPr>
        <w:framePr w:w="2290" w:x="1798" w:y="113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90" w:x="1798" w:y="113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其他情况</w:t>
      </w:r>
    </w:p>
    <w:p>
      <w:pPr>
        <w:framePr w:w="2290" w:x="1798" w:y="129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90" w:x="1798" w:y="129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r>
        <w:rPr>
          <w:rFonts w:ascii="SimSun" w:hAnsi="SimSun" w:eastAsiaTheme="minorEastAsia" w:cs="SimSun"/>
          <w:color w:val="000000"/>
          <w:spacing w:val="1"/>
          <w:sz w:val="21"/>
          <w:szCs w:val="22"/>
          <w:lang w:val="en-US" w:eastAsia="en-US" w:bidi="ar-SA"/>
        </w:rPr>
        <w:t>委托理财减值准备</w:t>
      </w:r>
    </w:p>
    <w:p>
      <w:pPr>
        <w:framePr w:w="2290" w:x="1798" w:y="129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18" type="#_x0000_t75" style="width:445.6pt;height:2.7pt;margin-top:53.5pt;margin-left:87.45pt;mso-position-horizontal-relative:page;mso-position-vertical-relative:page;position:absolute;z-index:-251304960">
            <v:imagedata r:id="rId85" o:title=""/>
          </v:shape>
        </w:pict>
      </w:r>
      <w:r>
        <w:rPr>
          <w:noProof/>
        </w:rPr>
        <w:pict>
          <v:shape id="_x0000_s1119" type="#_x0000_t75" style="width:447.3pt;height:225.15pt;margin-top:74.3pt;margin-left:87.1pt;mso-position-horizontal-relative:page;mso-position-vertical-relative:page;position:absolute;z-index:-251429888">
            <v:imagedata r:id="rId86" o:title=""/>
          </v:shape>
        </w:pict>
      </w:r>
      <w:r>
        <w:rPr>
          <w:noProof/>
        </w:rPr>
        <w:pict>
          <v:shape id="_x0000_s1120" type="#_x0000_t75" style="width:454.95pt;height:30.8pt;margin-top:423.55pt;margin-left:83.25pt;mso-position-horizontal-relative:page;mso-position-vertical-relative:page;position:absolute;z-index:-251620352">
            <v:imagedata r:id="rId87" o:title=""/>
          </v:shape>
        </w:pict>
      </w:r>
    </w:p>
    <w:p>
      <w:pPr>
        <w:spacing w:line="0" w:lineRule="atLeast"/>
        <w:rPr>
          <w:rFonts w:ascii="Arial" w:eastAsiaTheme="minorEastAsia" w:hAnsiTheme="minorHAnsi" w:cstheme="minorBidi"/>
          <w:color w:val="FF0000"/>
          <w:sz w:val="2"/>
          <w:szCs w:val="22"/>
          <w:lang w:val="en-US" w:eastAsia="en-US" w:bidi="ar-SA"/>
        </w:rPr>
      </w:pPr>
      <w:bookmarkStart w:id="38" w:name="br1_37"/>
      <w:bookmarkEnd w:id="38"/>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29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委托贷款情况</w:t>
      </w:r>
    </w:p>
    <w:p>
      <w:pPr>
        <w:framePr w:w="2290"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r>
        <w:rPr>
          <w:rFonts w:ascii="SimSun" w:hAnsi="SimSun" w:eastAsiaTheme="minorEastAsia" w:cs="SimSun"/>
          <w:color w:val="000000"/>
          <w:spacing w:val="1"/>
          <w:sz w:val="21"/>
          <w:szCs w:val="22"/>
          <w:lang w:val="en-US" w:eastAsia="en-US" w:bidi="ar-SA"/>
        </w:rPr>
        <w:t>委托贷款总体情况</w:t>
      </w:r>
    </w:p>
    <w:p>
      <w:pPr>
        <w:framePr w:w="2290"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90"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其他情况</w:t>
      </w:r>
    </w:p>
    <w:p>
      <w:pPr>
        <w:framePr w:w="2290"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90" w:x="1798" w:y="365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r>
        <w:rPr>
          <w:rFonts w:ascii="SimSun" w:hAnsi="SimSun" w:eastAsiaTheme="minorEastAsia" w:cs="SimSun"/>
          <w:color w:val="000000"/>
          <w:spacing w:val="1"/>
          <w:sz w:val="21"/>
          <w:szCs w:val="22"/>
          <w:lang w:val="en-US" w:eastAsia="en-US" w:bidi="ar-SA"/>
        </w:rPr>
        <w:t>单项委托贷款情况</w:t>
      </w:r>
    </w:p>
    <w:p>
      <w:pPr>
        <w:framePr w:w="2290" w:x="1798" w:y="3650"/>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90" w:x="1798" w:y="365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其他情况</w:t>
      </w:r>
    </w:p>
    <w:p>
      <w:pPr>
        <w:framePr w:w="2290"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90"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r>
        <w:rPr>
          <w:rFonts w:ascii="SimSun" w:hAnsi="SimSun" w:eastAsiaTheme="minorEastAsia" w:cs="SimSun"/>
          <w:color w:val="000000"/>
          <w:spacing w:val="1"/>
          <w:sz w:val="21"/>
          <w:szCs w:val="22"/>
          <w:lang w:val="en-US" w:eastAsia="en-US" w:bidi="ar-SA"/>
        </w:rPr>
        <w:t>委托贷款减值准备</w:t>
      </w:r>
    </w:p>
    <w:p>
      <w:pPr>
        <w:framePr w:w="2290" w:x="1798" w:y="5765"/>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90"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其他情况</w:t>
      </w:r>
    </w:p>
    <w:p>
      <w:pPr>
        <w:framePr w:w="1922" w:x="1798" w:y="7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798" w:y="84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四</w:t>
      </w:r>
      <w:r>
        <w:rPr>
          <w:rFonts w:ascii="SimSun" w:eastAsiaTheme="minorEastAsia" w:hAnsiTheme="minorHAnsi" w:cstheme="minorBidi"/>
          <w:color w:val="000000"/>
          <w:sz w:val="21"/>
          <w:szCs w:val="22"/>
          <w:lang w:val="en-US" w:eastAsia="en-US" w:bidi="ar-SA"/>
        </w:rPr>
        <w:t>)</w:t>
      </w:r>
    </w:p>
    <w:p>
      <w:pPr>
        <w:framePr w:w="1507" w:x="2638" w:y="84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其他重大合同</w:t>
      </w:r>
    </w:p>
    <w:p>
      <w:pPr>
        <w:framePr w:w="1922" w:x="1798" w:y="8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94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十六、其他重大事项的说明</w:t>
      </w:r>
    </w:p>
    <w:p>
      <w:pPr>
        <w:framePr w:w="2774" w:x="1798" w:y="94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105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十七、积极履行社会责任的工作情况</w:t>
      </w:r>
    </w:p>
    <w:p>
      <w:pPr>
        <w:framePr w:w="662" w:x="1798" w:y="1105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z w:val="21"/>
          <w:szCs w:val="22"/>
          <w:lang w:val="en-US" w:eastAsia="en-US" w:bidi="ar-SA"/>
        </w:rPr>
        <w:t>)</w:t>
      </w:r>
    </w:p>
    <w:p>
      <w:pPr>
        <w:framePr w:w="2352" w:x="2650" w:y="11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上市公司扶贫工作情况</w:t>
      </w:r>
    </w:p>
    <w:p>
      <w:pPr>
        <w:framePr w:w="1817" w:x="1798" w:y="11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73" w:x="1798" w:y="121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社会责任工作情况</w:t>
      </w:r>
    </w:p>
    <w:p>
      <w:pPr>
        <w:framePr w:w="2573" w:x="1798" w:y="121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31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报告期内，公司以“为人类创造完美农业产品、为员工构建美好幸福生活”为使命，坚持“专</w:t>
      </w:r>
    </w:p>
    <w:p>
      <w:pPr>
        <w:framePr w:w="9110" w:x="1798" w:y="131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业化、精细化”的经营理念，强抓节能环保、节约挖潜和降耗减排，大力发展循环经济，加强资</w:t>
      </w:r>
    </w:p>
    <w:p>
      <w:pPr>
        <w:framePr w:w="9110" w:x="1798" w:y="1316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源综合利用，实现企业稳步快速、健康持续发展。企业作为社会的重要组成部分，其发展离不开</w:t>
      </w:r>
    </w:p>
    <w:p>
      <w:pPr>
        <w:framePr w:w="9110" w:x="1798" w:y="131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社会的支持，积极履行和承担自己应尽的社会责任，公司在抓好企业自身建设的同时，也不忘回</w:t>
      </w:r>
    </w:p>
    <w:p>
      <w:pPr>
        <w:framePr w:w="9110" w:x="1798" w:y="131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报社会。</w:t>
      </w:r>
    </w:p>
    <w:p>
      <w:pPr>
        <w:framePr w:w="847" w:x="5910" w:y="15609"/>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21" type="#_x0000_t75" style="width:445.6pt;height:2.7pt;margin-top:53.5pt;margin-left:87.45pt;mso-position-horizontal-relative:page;mso-position-vertical-relative:page;position:absolute;z-index:-25161932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39" w:name="br1_38"/>
      <w:bookmarkEnd w:id="39"/>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794"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、注重投资者关系管理，加强与资本市场沟通交流，坚持维护股东利益、履行社会责任，让</w:t>
      </w:r>
    </w:p>
    <w:p>
      <w:pPr>
        <w:framePr w:w="2563"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股东分享公司经营成果。</w:t>
      </w:r>
    </w:p>
    <w:p>
      <w:pPr>
        <w:framePr w:w="9110" w:x="1798" w:y="24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、始终坚持“以人为本”，</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z w:val="21"/>
          <w:szCs w:val="22"/>
          <w:lang w:val="en-US" w:eastAsia="en-US" w:bidi="ar-SA"/>
        </w:rPr>
        <w:t>与所有在职员工签订劳动合同，依法建立健全社会保险管理体</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系，为员工缴纳社会保险，保障员工合法权益。同时，公司制定了较为完善的绩效考核体系和培</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训体系，对人员选聘、职工培训、薪酬福利、绩效考核等进行了详细的规定，同时实施了限制性</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股票激励政策，充分调动了员工的积极性，有效地将公司利益和员工利益紧密结合，促使各方共</w:t>
      </w:r>
    </w:p>
    <w:p>
      <w:pPr>
        <w:framePr w:w="9110" w:x="1798" w:y="247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同关注公司的发展。</w:t>
      </w:r>
    </w:p>
    <w:p>
      <w:pPr>
        <w:framePr w:w="9110" w:x="1798" w:y="463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通过多种途径和渠道帮助员工提高各项技能，不断改善员工的工作环境、工作条件，为员工</w:t>
      </w:r>
    </w:p>
    <w:p>
      <w:pPr>
        <w:framePr w:w="9110" w:x="1798" w:y="46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创造、提供广阔的发展平台和施展个人才华的机会。通过不断完善安全机制，落实职业健康保障</w:t>
      </w:r>
    </w:p>
    <w:p>
      <w:pPr>
        <w:framePr w:w="9110" w:x="1798" w:y="46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措施，保障了职工的人身安全和健康；</w:t>
      </w:r>
    </w:p>
    <w:p>
      <w:pPr>
        <w:framePr w:w="9110" w:x="1798" w:y="598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、密切与供应商、客户的关系，通过断完善供应商和客户管理体系，发展战略合作关系，合</w:t>
      </w:r>
    </w:p>
    <w:p>
      <w:pPr>
        <w:framePr w:w="9110" w:x="1798" w:y="598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作共赢，稳定采购和销售渠道，共同构筑信任与合作平台，严格履行合同约定的义务，保障供应</w:t>
      </w:r>
    </w:p>
    <w:p>
      <w:pPr>
        <w:framePr w:w="9110" w:x="1798" w:y="598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商和客户利益不受损害。</w:t>
      </w:r>
    </w:p>
    <w:p>
      <w:pPr>
        <w:framePr w:w="8794" w:x="2218" w:y="73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、每年投入大量资金致力于节约能源，致力于减少废弃物，降低环境负荷；切实运行环境管</w:t>
      </w:r>
    </w:p>
    <w:p>
      <w:pPr>
        <w:framePr w:w="5098" w:x="1798" w:y="7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理体系，提高环境绩效，不断改善体系运行有效性。</w:t>
      </w:r>
    </w:p>
    <w:p>
      <w:pPr>
        <w:framePr w:w="6682" w:x="2218" w:y="82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、依法足额缴纳各项税费，大力支持就业，积极参与社会公益活动。</w:t>
      </w:r>
    </w:p>
    <w:p>
      <w:pPr>
        <w:framePr w:w="2150" w:x="1798" w:y="87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三</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环境信息情况</w:t>
      </w:r>
    </w:p>
    <w:p>
      <w:pPr>
        <w:framePr w:w="7832" w:x="1798" w:y="91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属于环境保护部门公布的重点排污单位的公司及其重要子公司的环保情况说明</w:t>
      </w:r>
    </w:p>
    <w:p>
      <w:pPr>
        <w:framePr w:w="1817" w:x="1798" w:y="94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9459"/>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r>
        <w:rPr>
          <w:rFonts w:ascii="SimSun" w:hAnsi="SimSun" w:eastAsiaTheme="minorEastAsia" w:cs="SimSun"/>
          <w:color w:val="000000"/>
          <w:spacing w:val="1"/>
          <w:sz w:val="21"/>
          <w:szCs w:val="22"/>
          <w:lang w:val="en-US" w:eastAsia="en-US" w:bidi="ar-SA"/>
        </w:rPr>
        <w:t>排污信息</w:t>
      </w:r>
    </w:p>
    <w:p>
      <w:pPr>
        <w:framePr w:w="1817" w:x="1798" w:y="10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051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公司及子公司潍坊先达、辽宁先达主要从事农药原药研发、生产及销售。一直高度重视环境</w:t>
      </w:r>
    </w:p>
    <w:p>
      <w:pPr>
        <w:framePr w:w="9110" w:x="1798" w:y="1051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治理工作，对其厂区内三废、噪声等均采取了有效的综合治理措施，各项排污许可证照齐全。报</w:t>
      </w:r>
    </w:p>
    <w:p>
      <w:pPr>
        <w:framePr w:w="9110" w:x="1798" w:y="1051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告期内公司和潍坊先达、辽宁先达防治污染设施运行正常，废水、废气均达标排放，未发生环境</w:t>
      </w:r>
    </w:p>
    <w:p>
      <w:pPr>
        <w:framePr w:w="9110" w:x="1798" w:y="1051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污染事故。</w:t>
      </w:r>
    </w:p>
    <w:p>
      <w:pPr>
        <w:framePr w:w="1402" w:x="2218" w:y="12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、排污信息</w:t>
      </w:r>
    </w:p>
    <w:p>
      <w:pPr>
        <w:framePr w:w="1870" w:x="2218" w:y="125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公司排污信息</w:t>
      </w:r>
    </w:p>
    <w:p>
      <w:pPr>
        <w:framePr w:w="9066" w:x="1798" w:y="129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根据全国排污许可证管理信息平台，《排污许可证》（编号：</w:t>
      </w:r>
      <w:r>
        <w:rPr>
          <w:rFonts w:ascii="SimSun" w:eastAsiaTheme="minorEastAsia" w:hAnsiTheme="minorHAnsi" w:cstheme="minorBidi"/>
          <w:color w:val="333333"/>
          <w:sz w:val="21"/>
          <w:szCs w:val="22"/>
          <w:lang w:val="en-US" w:eastAsia="en-US" w:bidi="ar-SA"/>
        </w:rPr>
        <w:t>913700007433656097001P</w:t>
      </w:r>
      <w:r>
        <w:rPr>
          <w:rFonts w:ascii="SimSun" w:hAnsi="SimSun" w:eastAsiaTheme="minorEastAsia" w:cs="SimSun"/>
          <w:color w:val="000000"/>
          <w:spacing w:val="1"/>
          <w:sz w:val="21"/>
          <w:szCs w:val="22"/>
          <w:lang w:val="en-US" w:eastAsia="en-US" w:bidi="ar-SA"/>
        </w:rPr>
        <w:t>）有</w:t>
      </w:r>
    </w:p>
    <w:p>
      <w:pPr>
        <w:framePr w:w="9066" w:x="1798" w:y="129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效期至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2025</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日，发证机关为滨州市生态环境局博兴分局。</w:t>
      </w:r>
    </w:p>
    <w:p>
      <w:pPr>
        <w:framePr w:w="9066" w:x="1798" w:y="1296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）公司废水的排放信息：</w:t>
      </w:r>
    </w:p>
    <w:p>
      <w:pPr>
        <w:framePr w:w="9110" w:x="1798" w:y="1431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主要污染物及特征污染物名称：</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z w:val="21"/>
          <w:szCs w:val="22"/>
          <w:lang w:val="en-US" w:eastAsia="en-US" w:bidi="ar-SA"/>
        </w:rPr>
        <w:t>、氨氮、其他特征污染物（总氮（以</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N</w:t>
      </w:r>
      <w:r>
        <w:rPr>
          <w:rFonts w:ascii="SimSun" w:hAnsi="SimSun" w:eastAsiaTheme="minorEastAsia" w:cs="SimSun"/>
          <w:color w:val="000000"/>
          <w:sz w:val="21"/>
          <w:szCs w:val="22"/>
          <w:lang w:val="en-US" w:eastAsia="en-US" w:bidi="ar-SA"/>
        </w:rPr>
        <w:t>计）、</w:t>
      </w:r>
      <w:r>
        <w:rPr>
          <w:rFonts w:ascii="SimSun" w:eastAsiaTheme="minorEastAsia" w:hAnsiTheme="minorHAnsi" w:cstheme="minorBidi"/>
          <w:color w:val="000000"/>
          <w:spacing w:val="-1"/>
          <w:sz w:val="21"/>
          <w:szCs w:val="22"/>
          <w:lang w:val="en-US" w:eastAsia="en-US" w:bidi="ar-SA"/>
        </w:rPr>
        <w:t>pH</w:t>
      </w:r>
      <w:r>
        <w:rPr>
          <w:rFonts w:ascii="SimSun" w:hAnsi="SimSun" w:eastAsiaTheme="minorEastAsia" w:cs="SimSun"/>
          <w:color w:val="000000"/>
          <w:sz w:val="21"/>
          <w:szCs w:val="22"/>
          <w:lang w:val="en-US" w:eastAsia="en-US" w:bidi="ar-SA"/>
        </w:rPr>
        <w:t>值、色</w:t>
      </w:r>
    </w:p>
    <w:p>
      <w:pPr>
        <w:framePr w:w="9110" w:x="1798" w:y="1431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度、溶解性总固体、全盐量、悬浮物、五日生化需氧量、总有机碳、甲苯、二甲苯、氯化物（以</w:t>
      </w:r>
    </w:p>
    <w:p>
      <w:pPr>
        <w:framePr w:w="9110" w:x="1798" w:y="1431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Cl-</w:t>
      </w:r>
      <w:r>
        <w:rPr>
          <w:rFonts w:ascii="SimSun" w:hAnsi="SimSun" w:eastAsiaTheme="minorEastAsia" w:cs="SimSun"/>
          <w:color w:val="000000"/>
          <w:sz w:val="21"/>
          <w:szCs w:val="22"/>
          <w:lang w:val="en-US" w:eastAsia="en-US" w:bidi="ar-SA"/>
        </w:rPr>
        <w:t>计））。</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22" type="#_x0000_t75" style="width:445.6pt;height:2.7pt;margin-top:53.5pt;margin-left:87.45pt;mso-position-horizontal-relative:page;mso-position-vertical-relative:page;position:absolute;z-index:-25161830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40" w:name="br1_39"/>
      <w:bookmarkEnd w:id="40"/>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076"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排放方式：公司废水经分类收集处理后，进入公司污水处理站，经“厌氧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UASB+</w:t>
      </w:r>
      <w:r>
        <w:rPr>
          <w:rFonts w:ascii="SimSun" w:hAnsi="SimSun" w:eastAsiaTheme="minorEastAsia" w:cs="SimSun"/>
          <w:color w:val="000000"/>
          <w:sz w:val="21"/>
          <w:szCs w:val="22"/>
          <w:lang w:val="en-US" w:eastAsia="en-US" w:bidi="ar-SA"/>
        </w:rPr>
        <w:t>活性污泥</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接</w:t>
      </w:r>
    </w:p>
    <w:p>
      <w:pPr>
        <w:framePr w:w="9076"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触氧化”生化处理后达标排入污水处理厂。</w:t>
      </w:r>
    </w:p>
    <w:p>
      <w:pPr>
        <w:framePr w:w="9078" w:x="1798" w:y="235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排放口数量和分布情况：本公司设有</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4"/>
          <w:sz w:val="21"/>
          <w:szCs w:val="22"/>
          <w:lang w:val="en-US" w:eastAsia="en-US" w:bidi="ar-SA"/>
        </w:rPr>
        <w:t>个废水总排口，位于经度</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118</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2"/>
          <w:sz w:val="21"/>
          <w:szCs w:val="22"/>
          <w:lang w:val="en-US" w:eastAsia="en-US" w:bidi="ar-SA"/>
        </w:rPr>
        <w:t>48</w:t>
      </w:r>
      <w:r>
        <w:rPr>
          <w:rFonts w:ascii="SimSun" w:hAnsi="SimSun" w:eastAsiaTheme="minorEastAsia" w:cs="SimSun"/>
          <w:color w:val="000000"/>
          <w:spacing w:val="-11"/>
          <w:sz w:val="21"/>
          <w:szCs w:val="22"/>
          <w:lang w:val="en-US" w:eastAsia="en-US" w:bidi="ar-SA"/>
        </w:rPr>
        <w:t>″、纬度</w:t>
      </w:r>
      <w:r>
        <w:rPr>
          <w:rFonts w:eastAsiaTheme="minorEastAsia" w:hAnsiTheme="minorHAnsi" w:cstheme="minorBidi"/>
          <w:color w:val="000000"/>
          <w:spacing w:val="1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37</w:t>
      </w:r>
      <w:r>
        <w:rPr>
          <w:rFonts w:ascii="SimSun" w:hAnsi="SimSun" w:eastAsiaTheme="minorEastAsia" w:cs="SimSun"/>
          <w:color w:val="000000"/>
          <w:spacing w:val="1"/>
          <w:sz w:val="15"/>
          <w:szCs w:val="22"/>
          <w:lang w:val="en-US" w:eastAsia="en-US" w:bidi="ar-SA"/>
        </w:rPr>
        <w:t>°</w:t>
      </w:r>
      <w:r>
        <w:rPr>
          <w:rFonts w:ascii="SimSun" w:eastAsiaTheme="minorEastAsia" w:hAnsiTheme="minorHAnsi" w:cstheme="minorBidi"/>
          <w:color w:val="000000"/>
          <w:spacing w:val="-2"/>
          <w:sz w:val="21"/>
          <w:szCs w:val="22"/>
          <w:lang w:val="en-US" w:eastAsia="en-US" w:bidi="ar-SA"/>
        </w:rPr>
        <w:t>8</w:t>
      </w:r>
      <w:r>
        <w:rPr>
          <w:rFonts w:ascii="SimSun" w:hAnsi="SimSun" w:eastAsiaTheme="minorEastAsia" w:cs="SimSun"/>
          <w:color w:val="000000"/>
          <w:sz w:val="21"/>
          <w:szCs w:val="22"/>
          <w:lang w:val="en-US" w:eastAsia="en-US" w:bidi="ar-SA"/>
        </w:rPr>
        <w:t>′</w:t>
      </w:r>
    </w:p>
    <w:p>
      <w:pPr>
        <w:framePr w:w="9078"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pacing w:val="1"/>
          <w:sz w:val="21"/>
          <w:szCs w:val="22"/>
          <w:lang w:val="en-US" w:eastAsia="en-US" w:bidi="ar-SA"/>
        </w:rPr>
        <w:t>″。</w:t>
      </w:r>
    </w:p>
    <w:p>
      <w:pPr>
        <w:framePr w:w="9078" w:x="1798" w:y="3163"/>
        <w:widowControl w:val="0"/>
        <w:autoSpaceDE w:val="0"/>
        <w:autoSpaceDN w:val="0"/>
        <w:spacing w:line="234"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废水排放执行的排放标准：公司污水排放执行《污水综合排放标准》（</w:t>
      </w:r>
      <w:r>
        <w:rPr>
          <w:rFonts w:eastAsiaTheme="minorEastAsia" w:hAnsiTheme="minorHAnsi" w:cstheme="minorBidi"/>
          <w:color w:val="000000"/>
          <w:sz w:val="21"/>
          <w:szCs w:val="22"/>
          <w:lang w:val="en-US" w:eastAsia="en-US" w:bidi="ar-SA"/>
        </w:rPr>
        <w:t>GB8978</w:t>
      </w:r>
      <w:r>
        <w:rPr>
          <w:rFonts w:ascii="SimSun" w:hAnsi="SimSun" w:eastAsiaTheme="minorEastAsia" w:cs="SimSun"/>
          <w:color w:val="000000"/>
          <w:spacing w:val="1"/>
          <w:sz w:val="21"/>
          <w:szCs w:val="22"/>
          <w:lang w:val="en-US" w:eastAsia="en-US" w:bidi="ar-SA"/>
        </w:rPr>
        <w:t>－</w:t>
      </w:r>
      <w:r>
        <w:rPr>
          <w:rFonts w:eastAsiaTheme="minorEastAsia" w:hAnsiTheme="minorHAnsi" w:cstheme="minorBidi"/>
          <w:color w:val="000000"/>
          <w:sz w:val="21"/>
          <w:szCs w:val="22"/>
          <w:lang w:val="en-US" w:eastAsia="en-US" w:bidi="ar-SA"/>
        </w:rPr>
        <w:t>1996</w:t>
      </w:r>
      <w:r>
        <w:rPr>
          <w:rFonts w:ascii="SimSun" w:hAnsi="SimSun" w:eastAsiaTheme="minorEastAsia" w:cs="SimSun"/>
          <w:color w:val="000000"/>
          <w:spacing w:val="-7"/>
          <w:sz w:val="21"/>
          <w:szCs w:val="22"/>
          <w:lang w:val="en-US" w:eastAsia="en-US" w:bidi="ar-SA"/>
        </w:rPr>
        <w:t>）三级</w:t>
      </w:r>
    </w:p>
    <w:p>
      <w:pPr>
        <w:framePr w:w="9078" w:x="1798" w:y="3163"/>
        <w:widowControl w:val="0"/>
        <w:autoSpaceDE w:val="0"/>
        <w:autoSpaceDN w:val="0"/>
        <w:spacing w:before="40" w:line="234"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排放标准以及《污水排入城镇下水道水质标准》</w:t>
      </w:r>
      <w:r>
        <w:rPr>
          <w:rFonts w:eastAsiaTheme="minorEastAsia" w:hAnsiTheme="minorHAnsi" w:cstheme="minorBidi"/>
          <w:color w:val="000000"/>
          <w:sz w:val="21"/>
          <w:szCs w:val="22"/>
          <w:lang w:val="en-US" w:eastAsia="en-US" w:bidi="ar-SA"/>
        </w:rPr>
        <w:t>GB/T</w:t>
      </w:r>
      <w:r>
        <w:rPr>
          <w:rFonts w:eastAsiaTheme="minorEastAsia" w:hAnsiTheme="minorHAnsi" w:cstheme="minorBidi"/>
          <w:color w:val="000000"/>
          <w:spacing w:val="1"/>
          <w:sz w:val="21"/>
          <w:szCs w:val="22"/>
          <w:lang w:val="en-US" w:eastAsia="en-US" w:bidi="ar-SA"/>
        </w:rPr>
        <w:t xml:space="preserve"> </w:t>
      </w:r>
      <w:r>
        <w:rPr>
          <w:rFonts w:eastAsiaTheme="minorEastAsia" w:hAnsiTheme="minorHAnsi" w:cstheme="minorBidi"/>
          <w:color w:val="000000"/>
          <w:sz w:val="21"/>
          <w:szCs w:val="22"/>
          <w:lang w:val="en-US" w:eastAsia="en-US" w:bidi="ar-SA"/>
        </w:rPr>
        <w:t>31962-2015</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表</w:t>
      </w:r>
      <w:r>
        <w:rPr>
          <w:rFonts w:eastAsiaTheme="minorEastAsia" w:hAnsiTheme="minorHAnsi" w:cstheme="minorBidi"/>
          <w:color w:val="000000"/>
          <w:sz w:val="21"/>
          <w:szCs w:val="22"/>
          <w:lang w:val="en-US" w:eastAsia="en-US" w:bidi="ar-SA"/>
        </w:rPr>
        <w:t>1</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中</w:t>
      </w:r>
      <w:r>
        <w:rPr>
          <w:rFonts w:eastAsiaTheme="minorEastAsia" w:hAnsiTheme="minorHAnsi" w:cstheme="minorBidi"/>
          <w:color w:val="000000"/>
          <w:sz w:val="21"/>
          <w:szCs w:val="22"/>
          <w:lang w:val="en-US" w:eastAsia="en-US" w:bidi="ar-SA"/>
        </w:rPr>
        <w:t>B</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z w:val="21"/>
          <w:szCs w:val="22"/>
          <w:lang w:val="en-US" w:eastAsia="en-US" w:bidi="ar-SA"/>
        </w:rPr>
        <w:t>级标准。</w:t>
      </w:r>
    </w:p>
    <w:p>
      <w:pPr>
        <w:framePr w:w="9078" w:x="1798" w:y="3163"/>
        <w:widowControl w:val="0"/>
        <w:autoSpaceDE w:val="0"/>
        <w:autoSpaceDN w:val="0"/>
        <w:spacing w:before="44"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核定的排放总量和浓度：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COD</w:t>
      </w:r>
      <w:r>
        <w:rPr>
          <w:rFonts w:ascii="SimSun" w:hAnsi="SimSun" w:eastAsiaTheme="minorEastAsia" w:cs="SimSun"/>
          <w:color w:val="000000"/>
          <w:spacing w:val="-52"/>
          <w:sz w:val="21"/>
          <w:szCs w:val="22"/>
          <w:lang w:val="en-US" w:eastAsia="en-US" w:bidi="ar-SA"/>
        </w:rPr>
        <w:t>：</w:t>
      </w:r>
      <w:r>
        <w:rPr>
          <w:rFonts w:ascii="SimSun" w:eastAsiaTheme="minorEastAsia" w:hAnsiTheme="minorHAnsi" w:cstheme="minorBidi"/>
          <w:color w:val="000000"/>
          <w:spacing w:val="1"/>
          <w:sz w:val="21"/>
          <w:szCs w:val="22"/>
          <w:lang w:val="en-US" w:eastAsia="en-US" w:bidi="ar-SA"/>
        </w:rPr>
        <w:t>36</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COD</w:t>
      </w:r>
      <w:r>
        <w:rPr>
          <w:rFonts w:ascii="SimSun" w:hAnsi="SimSun" w:eastAsiaTheme="minorEastAsia" w:cs="SimSun"/>
          <w:color w:val="000000"/>
          <w:spacing w:val="-49"/>
          <w:sz w:val="21"/>
          <w:szCs w:val="22"/>
          <w:lang w:val="en-US" w:eastAsia="en-US" w:bidi="ar-SA"/>
        </w:rPr>
        <w:t>：</w:t>
      </w:r>
      <w:r>
        <w:rPr>
          <w:rFonts w:ascii="SimSun" w:eastAsiaTheme="minorEastAsia" w:hAnsiTheme="minorHAnsi" w:cstheme="minorBidi"/>
          <w:color w:val="000000"/>
          <w:sz w:val="21"/>
          <w:szCs w:val="22"/>
          <w:lang w:val="en-US" w:eastAsia="en-US" w:bidi="ar-SA"/>
        </w:rPr>
        <w:t>500mg/L</w:t>
      </w:r>
      <w:r>
        <w:rPr>
          <w:rFonts w:ascii="SimSun" w:hAnsi="SimSun" w:eastAsiaTheme="minorEastAsia" w:cs="SimSun"/>
          <w:color w:val="000000"/>
          <w:spacing w:val="-26"/>
          <w:sz w:val="21"/>
          <w:szCs w:val="22"/>
          <w:lang w:val="en-US" w:eastAsia="en-US" w:bidi="ar-SA"/>
        </w:rPr>
        <w:t>、氨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氮：</w:t>
      </w:r>
      <w:r>
        <w:rPr>
          <w:rFonts w:ascii="SimSun" w:eastAsiaTheme="minorEastAsia" w:hAnsiTheme="minorHAnsi" w:cstheme="minorBidi"/>
          <w:color w:val="000000"/>
          <w:sz w:val="21"/>
          <w:szCs w:val="22"/>
          <w:lang w:val="en-US" w:eastAsia="en-US" w:bidi="ar-SA"/>
        </w:rPr>
        <w:t>3.24</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0"/>
          <w:sz w:val="21"/>
          <w:szCs w:val="22"/>
          <w:lang w:val="en-US" w:eastAsia="en-US" w:bidi="ar-SA"/>
        </w:rPr>
        <w:t>年，氨氮：</w:t>
      </w:r>
      <w:r>
        <w:rPr>
          <w:rFonts w:ascii="SimSun" w:eastAsiaTheme="minorEastAsia" w:hAnsiTheme="minorHAnsi" w:cstheme="minorBidi"/>
          <w:color w:val="000000"/>
          <w:sz w:val="21"/>
          <w:szCs w:val="22"/>
          <w:lang w:val="en-US" w:eastAsia="en-US" w:bidi="ar-SA"/>
        </w:rPr>
        <w:t>45mg/L</w:t>
      </w:r>
      <w:r>
        <w:rPr>
          <w:rFonts w:ascii="SimSun" w:hAnsi="SimSun" w:eastAsiaTheme="minorEastAsia" w:cs="SimSun"/>
          <w:color w:val="000000"/>
          <w:sz w:val="21"/>
          <w:szCs w:val="22"/>
          <w:lang w:val="en-US" w:eastAsia="en-US" w:bidi="ar-SA"/>
        </w:rPr>
        <w:t>、</w:t>
      </w:r>
    </w:p>
    <w:p>
      <w:pPr>
        <w:framePr w:w="4076" w:x="1798" w:y="41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总氮（以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N</w:t>
      </w:r>
      <w:r>
        <w:rPr>
          <w:rFonts w:ascii="SimSun" w:hAnsi="SimSun" w:eastAsiaTheme="minorEastAsia" w:cs="SimSun"/>
          <w:color w:val="000000"/>
          <w:sz w:val="21"/>
          <w:szCs w:val="22"/>
          <w:lang w:val="en-US" w:eastAsia="en-US" w:bidi="ar-SA"/>
        </w:rPr>
        <w:t>计）：</w:t>
      </w:r>
      <w:r>
        <w:rPr>
          <w:rFonts w:ascii="SimSun" w:eastAsiaTheme="minorEastAsia" w:hAnsiTheme="minorHAnsi" w:cstheme="minorBidi"/>
          <w:color w:val="000000"/>
          <w:sz w:val="21"/>
          <w:szCs w:val="22"/>
          <w:lang w:val="en-US" w:eastAsia="en-US" w:bidi="ar-SA"/>
        </w:rPr>
        <w:t>5.04</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2"/>
          <w:sz w:val="21"/>
          <w:szCs w:val="22"/>
          <w:lang w:val="en-US" w:eastAsia="en-US" w:bidi="ar-SA"/>
        </w:rPr>
        <w:t>70</w:t>
      </w:r>
      <w:r>
        <w:rPr>
          <w:rFonts w:ascii="SimSun"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p>
    <w:p>
      <w:pPr>
        <w:framePr w:w="9078" w:x="1798" w:y="453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年公司排放浓度和总量：</w:t>
      </w:r>
      <w:r>
        <w:rPr>
          <w:rFonts w:eastAsiaTheme="minorEastAsia" w:hAnsiTheme="minorHAnsi" w:cstheme="minorBidi"/>
          <w:color w:val="000000"/>
          <w:spacing w:val="3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z w:val="21"/>
          <w:szCs w:val="22"/>
          <w:lang w:val="en-US" w:eastAsia="en-US" w:bidi="ar-SA"/>
        </w:rPr>
        <w:t>排放总量</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14.415</w:t>
      </w:r>
      <w:r>
        <w:rPr>
          <w:rFonts w:ascii="SimSun" w:hAnsi="SimSun" w:eastAsiaTheme="minorEastAsia" w:cs="SimSun"/>
          <w:color w:val="000000"/>
          <w:spacing w:val="-3"/>
          <w:sz w:val="21"/>
          <w:szCs w:val="22"/>
          <w:lang w:val="en-US" w:eastAsia="en-US" w:bidi="ar-SA"/>
        </w:rPr>
        <w:t>吨，排放浓度：</w:t>
      </w:r>
      <w:r>
        <w:rPr>
          <w:rFonts w:ascii="SimSun" w:eastAsiaTheme="minorEastAsia" w:hAnsiTheme="minorHAnsi" w:cstheme="minorBidi"/>
          <w:color w:val="000000"/>
          <w:sz w:val="21"/>
          <w:szCs w:val="22"/>
          <w:lang w:val="en-US" w:eastAsia="en-US" w:bidi="ar-SA"/>
        </w:rPr>
        <w:t>323mg/L</w:t>
      </w:r>
      <w:r>
        <w:rPr>
          <w:rFonts w:ascii="SimSun" w:hAnsi="SimSun" w:eastAsiaTheme="minorEastAsia" w:cs="SimSun"/>
          <w:color w:val="000000"/>
          <w:spacing w:val="-4"/>
          <w:sz w:val="21"/>
          <w:szCs w:val="22"/>
          <w:lang w:val="en-US" w:eastAsia="en-US" w:bidi="ar-SA"/>
        </w:rPr>
        <w:t>；氨氮排放总量</w:t>
      </w:r>
    </w:p>
    <w:p>
      <w:pPr>
        <w:framePr w:w="9078" w:x="1798" w:y="45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0.843t</w:t>
      </w:r>
      <w:r>
        <w:rPr>
          <w:rFonts w:ascii="SimSun" w:hAnsi="SimSun" w:eastAsiaTheme="minorEastAsia" w:cs="SimSun"/>
          <w:color w:val="000000"/>
          <w:sz w:val="21"/>
          <w:szCs w:val="22"/>
          <w:lang w:val="en-US" w:eastAsia="en-US" w:bidi="ar-SA"/>
        </w:rPr>
        <w:t>吨，排放浓度：</w:t>
      </w:r>
      <w:r>
        <w:rPr>
          <w:rFonts w:ascii="SimSun" w:eastAsiaTheme="minorEastAsia" w:hAnsiTheme="minorHAnsi" w:cstheme="minorBidi"/>
          <w:color w:val="000000"/>
          <w:sz w:val="21"/>
          <w:szCs w:val="22"/>
          <w:lang w:val="en-US" w:eastAsia="en-US" w:bidi="ar-SA"/>
        </w:rPr>
        <w:t>17.015mg/L</w:t>
      </w:r>
      <w:r>
        <w:rPr>
          <w:rFonts w:ascii="SimSun" w:hAnsi="SimSun" w:eastAsiaTheme="minorEastAsia" w:cs="SimSun"/>
          <w:color w:val="000000"/>
          <w:spacing w:val="-1"/>
          <w:sz w:val="21"/>
          <w:szCs w:val="22"/>
          <w:lang w:val="en-US" w:eastAsia="en-US" w:bidi="ar-SA"/>
        </w:rPr>
        <w:t>；总氮（以</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N</w:t>
      </w:r>
      <w:r>
        <w:rPr>
          <w:rFonts w:ascii="SimSun" w:hAnsi="SimSun" w:eastAsiaTheme="minorEastAsia" w:cs="SimSun"/>
          <w:color w:val="000000"/>
          <w:spacing w:val="1"/>
          <w:sz w:val="21"/>
          <w:szCs w:val="22"/>
          <w:lang w:val="en-US" w:eastAsia="en-US" w:bidi="ar-SA"/>
        </w:rPr>
        <w:t>计）：</w:t>
      </w:r>
      <w:r>
        <w:rPr>
          <w:rFonts w:ascii="SimSun" w:eastAsiaTheme="minorEastAsia" w:hAnsiTheme="minorHAnsi" w:cstheme="minorBidi"/>
          <w:color w:val="000000"/>
          <w:sz w:val="21"/>
          <w:szCs w:val="22"/>
          <w:lang w:val="en-US" w:eastAsia="en-US" w:bidi="ar-SA"/>
        </w:rPr>
        <w:t>1.852</w:t>
      </w:r>
      <w:r>
        <w:rPr>
          <w:rFonts w:ascii="SimSun" w:hAnsi="SimSun" w:eastAsiaTheme="minorEastAsia" w:cs="SimSun"/>
          <w:color w:val="000000"/>
          <w:sz w:val="21"/>
          <w:szCs w:val="22"/>
          <w:lang w:val="en-US" w:eastAsia="en-US" w:bidi="ar-SA"/>
        </w:rPr>
        <w:t>吨；总氮浓度：</w:t>
      </w:r>
      <w:r>
        <w:rPr>
          <w:rFonts w:ascii="SimSun" w:eastAsiaTheme="minorEastAsia" w:hAnsiTheme="minorHAnsi" w:cstheme="minorBidi"/>
          <w:color w:val="000000"/>
          <w:sz w:val="21"/>
          <w:szCs w:val="22"/>
          <w:lang w:val="en-US" w:eastAsia="en-US" w:bidi="ar-SA"/>
        </w:rPr>
        <w:t>39.74</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。未超</w:t>
      </w:r>
    </w:p>
    <w:p>
      <w:pPr>
        <w:framePr w:w="9078" w:x="1798" w:y="45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过排污许可证上的总量要求。</w:t>
      </w:r>
    </w:p>
    <w:p>
      <w:pPr>
        <w:framePr w:w="2880" w:x="2218" w:y="57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）公司废气的排放信息：</w:t>
      </w:r>
    </w:p>
    <w:p>
      <w:pPr>
        <w:framePr w:w="9069" w:x="1798" w:y="61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主要污染物及特征污染物名称：挥发性有机物，二甲苯，氨（氨气），臭气浓度，硫酸雾，</w:t>
      </w:r>
    </w:p>
    <w:p>
      <w:pPr>
        <w:framePr w:w="9069" w:x="1798" w:y="61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颗粒物，氯化氢，二氧化硫，氮氧化物，二噁英类，甲醇，甲苯，乙酸，硫化氢。</w:t>
      </w:r>
    </w:p>
    <w:p>
      <w:pPr>
        <w:framePr w:w="9069" w:x="1798" w:y="616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排放方式：不同的废气经低温冷凝、吸收塔、活性炭纤维吸附床、</w:t>
      </w:r>
      <w:r>
        <w:rPr>
          <w:rFonts w:ascii="SimSun" w:eastAsiaTheme="minorEastAsia" w:hAnsiTheme="minorHAnsi" w:cstheme="minorBidi"/>
          <w:color w:val="000000"/>
          <w:sz w:val="21"/>
          <w:szCs w:val="22"/>
          <w:lang w:val="en-US" w:eastAsia="en-US" w:bidi="ar-SA"/>
        </w:rPr>
        <w:t>RTO</w:t>
      </w:r>
      <w:r>
        <w:rPr>
          <w:rFonts w:ascii="SimSun" w:hAnsi="SimSun" w:eastAsiaTheme="minorEastAsia" w:cs="SimSun"/>
          <w:color w:val="000000"/>
          <w:sz w:val="21"/>
          <w:szCs w:val="22"/>
          <w:lang w:val="en-US" w:eastAsia="en-US" w:bidi="ar-SA"/>
        </w:rPr>
        <w:t>蓄热焚烧炉等环保设</w:t>
      </w:r>
    </w:p>
    <w:p>
      <w:pPr>
        <w:framePr w:w="9069" w:x="1798" w:y="61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施处理后有组织达标排放。</w:t>
      </w:r>
    </w:p>
    <w:p>
      <w:pPr>
        <w:framePr w:w="9079" w:x="1798" w:y="780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排放口数量和分布情况：废气排放口</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个，分布在经度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118</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48</w:t>
      </w:r>
      <w:r>
        <w:rPr>
          <w:rFonts w:ascii="SimSun" w:hAnsi="SimSun" w:eastAsiaTheme="minorEastAsia" w:cs="SimSun"/>
          <w:color w:val="000000"/>
          <w:sz w:val="21"/>
          <w:szCs w:val="22"/>
          <w:lang w:val="en-US" w:eastAsia="en-US" w:bidi="ar-SA"/>
        </w:rPr>
        <w:t>″、纬度</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37</w:t>
      </w:r>
      <w:r>
        <w:rPr>
          <w:rFonts w:ascii="SimSun" w:hAnsi="SimSun" w:eastAsiaTheme="minorEastAsia" w:cs="SimSun"/>
          <w:color w:val="000000"/>
          <w:spacing w:val="1"/>
          <w:sz w:val="15"/>
          <w:szCs w:val="22"/>
          <w:lang w:val="en-US" w:eastAsia="en-US" w:bidi="ar-SA"/>
        </w:rPr>
        <w:t>°</w:t>
      </w:r>
      <w:r>
        <w:rPr>
          <w:rFonts w:ascii="SimSun" w:eastAsiaTheme="minorEastAsia" w:hAnsiTheme="minorHAnsi" w:cstheme="minorBidi"/>
          <w:color w:val="000000"/>
          <w:spacing w:val="-2"/>
          <w:sz w:val="21"/>
          <w:szCs w:val="22"/>
          <w:lang w:val="en-US" w:eastAsia="en-US" w:bidi="ar-SA"/>
        </w:rPr>
        <w:t>8</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pacing w:val="1"/>
          <w:sz w:val="21"/>
          <w:szCs w:val="22"/>
          <w:lang w:val="en-US" w:eastAsia="en-US" w:bidi="ar-SA"/>
        </w:rPr>
        <w:t>″。</w:t>
      </w:r>
    </w:p>
    <w:p>
      <w:pPr>
        <w:framePr w:w="9079" w:x="1798" w:y="7800"/>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大气污染物排放执行标准：《大气污染物综合排放标准》（</w:t>
      </w:r>
      <w:r>
        <w:rPr>
          <w:rFonts w:ascii="SimSun" w:eastAsiaTheme="minorEastAsia" w:hAnsiTheme="minorHAnsi" w:cstheme="minorBidi"/>
          <w:color w:val="000000"/>
          <w:sz w:val="21"/>
          <w:szCs w:val="22"/>
          <w:lang w:val="en-US" w:eastAsia="en-US" w:bidi="ar-SA"/>
        </w:rPr>
        <w:t>GB16297-1996</w:t>
      </w:r>
      <w:r>
        <w:rPr>
          <w:rFonts w:ascii="SimSun" w:hAnsi="SimSun" w:eastAsiaTheme="minorEastAsia" w:cs="SimSun"/>
          <w:color w:val="000000"/>
          <w:sz w:val="21"/>
          <w:szCs w:val="22"/>
          <w:lang w:val="en-US" w:eastAsia="en-US" w:bidi="ar-SA"/>
        </w:rPr>
        <w:t>）、《山东省区域</w:t>
      </w:r>
    </w:p>
    <w:p>
      <w:pPr>
        <w:framePr w:w="9079" w:x="1798" w:y="780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性大气污染物综合排放标准》（</w:t>
      </w:r>
      <w:r>
        <w:rPr>
          <w:rFonts w:ascii="SimSun" w:eastAsiaTheme="minorEastAsia" w:hAnsiTheme="minorHAnsi" w:cstheme="minorBidi"/>
          <w:color w:val="000000"/>
          <w:sz w:val="21"/>
          <w:szCs w:val="22"/>
          <w:lang w:val="en-US" w:eastAsia="en-US" w:bidi="ar-SA"/>
        </w:rPr>
        <w:t>DB37/2376-2019</w:t>
      </w:r>
      <w:r>
        <w:rPr>
          <w:rFonts w:ascii="SimSun" w:hAnsi="SimSun" w:eastAsiaTheme="minorEastAsia" w:cs="SimSun"/>
          <w:color w:val="000000"/>
          <w:spacing w:val="-4"/>
          <w:sz w:val="21"/>
          <w:szCs w:val="22"/>
          <w:lang w:val="en-US" w:eastAsia="en-US" w:bidi="ar-SA"/>
        </w:rPr>
        <w:t>）、《挥发性有机物排放标准</w:t>
      </w:r>
      <w:r>
        <w:rPr>
          <w:rFonts w:eastAsiaTheme="minorEastAsia" w:hAnsiTheme="minorHAnsi" w:cstheme="minorBidi"/>
          <w:color w:val="000000"/>
          <w:spacing w:val="59"/>
          <w:sz w:val="21"/>
          <w:szCs w:val="22"/>
          <w:lang w:val="en-US" w:eastAsia="en-US" w:bidi="ar-SA"/>
        </w:rPr>
        <w:t xml:space="preserve"> </w:t>
      </w:r>
      <w:r>
        <w:rPr>
          <w:rFonts w:ascii="SimSun" w:hAnsi="SimSun" w:eastAsiaTheme="minorEastAsia" w:cs="SimSun"/>
          <w:color w:val="000000"/>
          <w:sz w:val="21"/>
          <w:szCs w:val="22"/>
          <w:lang w:val="en-US" w:eastAsia="en-US" w:bidi="ar-SA"/>
        </w:rPr>
        <w:t>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pacing w:val="-3"/>
          <w:sz w:val="21"/>
          <w:szCs w:val="22"/>
          <w:lang w:val="en-US" w:eastAsia="en-US" w:bidi="ar-SA"/>
        </w:rPr>
        <w:t>部分：有机化</w:t>
      </w:r>
    </w:p>
    <w:p>
      <w:pPr>
        <w:framePr w:w="9079" w:x="1798" w:y="780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工行业》（</w:t>
      </w:r>
      <w:r>
        <w:rPr>
          <w:rFonts w:ascii="SimSun" w:eastAsiaTheme="minorEastAsia" w:hAnsiTheme="minorHAnsi" w:cstheme="minorBidi"/>
          <w:color w:val="000000"/>
          <w:spacing w:val="1"/>
          <w:sz w:val="21"/>
          <w:szCs w:val="22"/>
          <w:lang w:val="en-US" w:eastAsia="en-US" w:bidi="ar-SA"/>
        </w:rPr>
        <w:t>DB37</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2801.6-2018</w:t>
      </w:r>
      <w:r>
        <w:rPr>
          <w:rFonts w:ascii="SimSun" w:hAnsi="SimSun" w:eastAsiaTheme="minorEastAsia" w:cs="SimSun"/>
          <w:color w:val="000000"/>
          <w:sz w:val="21"/>
          <w:szCs w:val="22"/>
          <w:lang w:val="en-US" w:eastAsia="en-US" w:bidi="ar-SA"/>
        </w:rPr>
        <w:t>）、《有机化工企业污水处理厂（站）挥发性有机物及恶臭污染物</w:t>
      </w:r>
    </w:p>
    <w:p>
      <w:pPr>
        <w:framePr w:w="9079" w:x="1798" w:y="780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排放标准》（</w:t>
      </w:r>
      <w:r>
        <w:rPr>
          <w:rFonts w:ascii="SimSun" w:eastAsiaTheme="minorEastAsia" w:hAnsiTheme="minorHAnsi" w:cstheme="minorBidi"/>
          <w:color w:val="000000"/>
          <w:sz w:val="21"/>
          <w:szCs w:val="22"/>
          <w:lang w:val="en-US" w:eastAsia="en-US" w:bidi="ar-SA"/>
        </w:rPr>
        <w:t>DB37/3161-2018</w:t>
      </w:r>
      <w:r>
        <w:rPr>
          <w:rFonts w:ascii="SimSun" w:hAnsi="SimSun" w:eastAsiaTheme="minorEastAsia" w:cs="SimSun"/>
          <w:color w:val="000000"/>
          <w:spacing w:val="-1"/>
          <w:sz w:val="21"/>
          <w:szCs w:val="22"/>
          <w:lang w:val="en-US" w:eastAsia="en-US" w:bidi="ar-SA"/>
        </w:rPr>
        <w:t>）。</w:t>
      </w:r>
    </w:p>
    <w:p>
      <w:pPr>
        <w:framePr w:w="9110" w:x="1798" w:y="9843"/>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主要气体污染物核定的排放总量和浓度：</w:t>
      </w:r>
      <w:r>
        <w:rPr>
          <w:rFonts w:eastAsiaTheme="minorEastAsia" w:hAnsiTheme="minorHAnsi" w:cstheme="minorBidi"/>
          <w:color w:val="000000"/>
          <w:spacing w:val="47"/>
          <w:sz w:val="21"/>
          <w:szCs w:val="22"/>
          <w:lang w:val="en-US" w:eastAsia="en-US" w:bidi="ar-SA"/>
        </w:rPr>
        <w:t xml:space="preserve"> </w:t>
      </w:r>
      <w:r>
        <w:rPr>
          <w:rFonts w:ascii="SimSun" w:hAnsi="SimSun" w:eastAsiaTheme="minorEastAsia" w:cs="SimSun"/>
          <w:color w:val="000000"/>
          <w:spacing w:val="-2"/>
          <w:sz w:val="21"/>
          <w:szCs w:val="22"/>
          <w:lang w:val="en-US" w:eastAsia="en-US" w:bidi="ar-SA"/>
        </w:rPr>
        <w:t>颗粒物：</w:t>
      </w:r>
      <w:r>
        <w:rPr>
          <w:rFonts w:ascii="SimSun" w:eastAsiaTheme="minorEastAsia" w:hAnsiTheme="minorHAnsi" w:cstheme="minorBidi"/>
          <w:color w:val="000000"/>
          <w:spacing w:val="1"/>
          <w:sz w:val="21"/>
          <w:szCs w:val="22"/>
          <w:lang w:val="en-US" w:eastAsia="en-US" w:bidi="ar-SA"/>
        </w:rPr>
        <w:t>0.72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年、</w:t>
      </w:r>
      <w:r>
        <w:rPr>
          <w:rFonts w:ascii="SimSun" w:eastAsiaTheme="minorEastAsia" w:hAnsiTheme="minorHAnsi" w:cstheme="minorBidi"/>
          <w:color w:val="000000"/>
          <w:sz w:val="21"/>
          <w:szCs w:val="22"/>
          <w:lang w:val="en-US" w:eastAsia="en-US" w:bidi="ar-SA"/>
        </w:rPr>
        <w:t>10mg/</w:t>
      </w:r>
      <w:r>
        <w:rPr>
          <w:rFonts w:ascii="SimSun"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Nm3</w:t>
      </w:r>
      <w:r>
        <w:rPr>
          <w:rFonts w:ascii="SimSun" w:hAnsi="SimSun" w:eastAsiaTheme="minorEastAsia" w:cs="SimSun"/>
          <w:color w:val="000000"/>
          <w:spacing w:val="-2"/>
          <w:sz w:val="21"/>
          <w:szCs w:val="22"/>
          <w:lang w:val="en-US" w:eastAsia="en-US" w:bidi="ar-SA"/>
        </w:rPr>
        <w:t>；二氧化硫：</w:t>
      </w:r>
      <w:r>
        <w:rPr>
          <w:rFonts w:ascii="SimSun" w:eastAsiaTheme="minorEastAsia" w:hAnsiTheme="minorHAnsi" w:cstheme="minorBidi"/>
          <w:color w:val="000000"/>
          <w:spacing w:val="-1"/>
          <w:sz w:val="21"/>
          <w:szCs w:val="22"/>
          <w:lang w:val="en-US" w:eastAsia="en-US" w:bidi="ar-SA"/>
        </w:rPr>
        <w:t>3.6</w:t>
      </w:r>
    </w:p>
    <w:p>
      <w:pPr>
        <w:framePr w:w="9110" w:x="1798" w:y="984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z w:val="21"/>
          <w:szCs w:val="22"/>
          <w:lang w:val="en-US" w:eastAsia="en-US" w:bidi="ar-SA"/>
        </w:rPr>
        <w:t>50mg/</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Nm3</w:t>
      </w:r>
      <w:r>
        <w:rPr>
          <w:rFonts w:ascii="SimSun" w:hAnsi="SimSun" w:eastAsiaTheme="minorEastAsia" w:cs="SimSun"/>
          <w:color w:val="000000"/>
          <w:spacing w:val="-8"/>
          <w:sz w:val="21"/>
          <w:szCs w:val="22"/>
          <w:lang w:val="en-US" w:eastAsia="en-US" w:bidi="ar-SA"/>
        </w:rPr>
        <w:t>；氮氧化物：</w:t>
      </w:r>
      <w:r>
        <w:rPr>
          <w:rFonts w:ascii="SimSun" w:eastAsiaTheme="minorEastAsia" w:hAnsiTheme="minorHAnsi" w:cstheme="minorBidi"/>
          <w:color w:val="000000"/>
          <w:sz w:val="21"/>
          <w:szCs w:val="22"/>
          <w:lang w:val="en-US" w:eastAsia="en-US" w:bidi="ar-SA"/>
        </w:rPr>
        <w:t>7.2</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年，</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100mg/</w:t>
      </w:r>
      <w:r>
        <w:rPr>
          <w:rFonts w:ascii="SimSun"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Nm3</w:t>
      </w:r>
      <w:r>
        <w:rPr>
          <w:rFonts w:ascii="SimSun" w:hAnsi="SimSun" w:eastAsiaTheme="minorEastAsia" w:cs="SimSun"/>
          <w:color w:val="000000"/>
          <w:spacing w:val="-6"/>
          <w:sz w:val="21"/>
          <w:szCs w:val="22"/>
          <w:lang w:val="en-US" w:eastAsia="en-US" w:bidi="ar-SA"/>
        </w:rPr>
        <w:t>；挥发性有机物：</w:t>
      </w:r>
      <w:r>
        <w:rPr>
          <w:rFonts w:ascii="SimSun" w:eastAsiaTheme="minorEastAsia" w:hAnsiTheme="minorHAnsi" w:cstheme="minorBidi"/>
          <w:color w:val="000000"/>
          <w:sz w:val="21"/>
          <w:szCs w:val="22"/>
          <w:lang w:val="en-US" w:eastAsia="en-US" w:bidi="ar-SA"/>
        </w:rPr>
        <w:t>8.424</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z w:val="21"/>
          <w:szCs w:val="22"/>
          <w:lang w:val="en-US" w:eastAsia="en-US" w:bidi="ar-SA"/>
        </w:rPr>
        <w:t>60mg/</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Nm3</w:t>
      </w:r>
      <w:r>
        <w:rPr>
          <w:rFonts w:ascii="SimSun" w:hAnsi="SimSun" w:eastAsiaTheme="minorEastAsia" w:cs="SimSun"/>
          <w:color w:val="000000"/>
          <w:sz w:val="21"/>
          <w:szCs w:val="22"/>
          <w:lang w:val="en-US" w:eastAsia="en-US" w:bidi="ar-SA"/>
        </w:rPr>
        <w:t>。</w:t>
      </w:r>
    </w:p>
    <w:p>
      <w:pPr>
        <w:framePr w:w="9110" w:x="1798" w:y="984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报告期内主要气体污染物排放总量及浓度：颗粒物总量</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0.118t</w:t>
      </w:r>
      <w:r>
        <w:rPr>
          <w:rFonts w:ascii="SimSun" w:hAnsi="SimSun" w:eastAsiaTheme="minorEastAsia" w:cs="SimSun"/>
          <w:color w:val="000000"/>
          <w:sz w:val="21"/>
          <w:szCs w:val="22"/>
          <w:lang w:val="en-US" w:eastAsia="en-US" w:bidi="ar-SA"/>
        </w:rPr>
        <w:t>，浓度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1.9mg/</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Nm3</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；二氧化</w:t>
      </w:r>
    </w:p>
    <w:p>
      <w:pPr>
        <w:framePr w:w="9110" w:x="1798" w:y="98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硫总量</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0.0833t</w:t>
      </w:r>
      <w:r>
        <w:rPr>
          <w:rFonts w:ascii="SimSun" w:hAnsi="SimSun" w:eastAsiaTheme="minorEastAsia" w:cs="SimSun"/>
          <w:color w:val="000000"/>
          <w:sz w:val="21"/>
          <w:szCs w:val="22"/>
          <w:lang w:val="en-US" w:eastAsia="en-US" w:bidi="ar-SA"/>
        </w:rPr>
        <w:t>，浓度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1.5mg/</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Nm3</w:t>
      </w:r>
      <w:r>
        <w:rPr>
          <w:rFonts w:ascii="SimSun" w:hAnsi="SimSun" w:eastAsiaTheme="minorEastAsia" w:cs="SimSun"/>
          <w:color w:val="000000"/>
          <w:sz w:val="21"/>
          <w:szCs w:val="22"/>
          <w:lang w:val="en-US" w:eastAsia="en-US" w:bidi="ar-SA"/>
        </w:rPr>
        <w:t>；氮氧化物总量</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0.365t</w:t>
      </w:r>
      <w:r>
        <w:rPr>
          <w:rFonts w:ascii="SimSun" w:hAnsi="SimSun" w:eastAsiaTheme="minorEastAsia" w:cs="SimSun"/>
          <w:color w:val="000000"/>
          <w:sz w:val="21"/>
          <w:szCs w:val="22"/>
          <w:lang w:val="en-US" w:eastAsia="en-US" w:bidi="ar-SA"/>
        </w:rPr>
        <w:t>，浓度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6.25mg/</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Nm3</w:t>
      </w:r>
      <w:r>
        <w:rPr>
          <w:rFonts w:ascii="SimSun" w:hAnsi="SimSun" w:eastAsiaTheme="minorEastAsia" w:cs="SimSun"/>
          <w:color w:val="000000"/>
          <w:sz w:val="21"/>
          <w:szCs w:val="22"/>
          <w:lang w:val="en-US" w:eastAsia="en-US" w:bidi="ar-SA"/>
        </w:rPr>
        <w:t>；挥发性有机物总</w:t>
      </w:r>
    </w:p>
    <w:p>
      <w:pPr>
        <w:framePr w:w="9110" w:x="1798" w:y="98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0.819t</w:t>
      </w:r>
      <w:r>
        <w:rPr>
          <w:rFonts w:ascii="SimSun" w:hAnsi="SimSun" w:eastAsiaTheme="minorEastAsia" w:cs="SimSun"/>
          <w:color w:val="000000"/>
          <w:sz w:val="21"/>
          <w:szCs w:val="22"/>
          <w:lang w:val="en-US" w:eastAsia="en-US" w:bidi="ar-SA"/>
        </w:rPr>
        <w:t>，浓度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25.825mg/</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Nm3</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。上述废气排放未超过排污许可证的总量。</w:t>
      </w:r>
    </w:p>
    <w:p>
      <w:pPr>
        <w:framePr w:w="9110" w:x="1798" w:y="9843"/>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报告期内，公司废水、废气均达标排放。</w:t>
      </w:r>
    </w:p>
    <w:p>
      <w:pPr>
        <w:framePr w:w="2458" w:x="2218" w:y="122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、潍坊先达排污信息</w:t>
      </w:r>
    </w:p>
    <w:p>
      <w:pPr>
        <w:framePr w:w="9066" w:x="1798" w:y="127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根据全国排污许可证管理信息平台，《排污许可证》（编号：</w:t>
      </w:r>
      <w:r>
        <w:rPr>
          <w:rFonts w:ascii="SimSun" w:eastAsiaTheme="minorEastAsia" w:hAnsiTheme="minorHAnsi" w:cstheme="minorBidi"/>
          <w:color w:val="333333"/>
          <w:sz w:val="21"/>
          <w:szCs w:val="22"/>
          <w:lang w:val="en-US" w:eastAsia="en-US" w:bidi="ar-SA"/>
        </w:rPr>
        <w:t>91370700789293364L001P</w:t>
      </w:r>
      <w:r>
        <w:rPr>
          <w:rFonts w:ascii="SimSun" w:hAnsi="SimSun" w:eastAsiaTheme="minorEastAsia" w:cs="SimSun"/>
          <w:color w:val="000000"/>
          <w:spacing w:val="1"/>
          <w:sz w:val="21"/>
          <w:szCs w:val="22"/>
          <w:lang w:val="en-US" w:eastAsia="en-US" w:bidi="ar-SA"/>
        </w:rPr>
        <w:t>）有</w:t>
      </w:r>
    </w:p>
    <w:p>
      <w:pPr>
        <w:framePr w:w="9066" w:x="1798" w:y="127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效期至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2025</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w:t>
      </w:r>
      <w:r>
        <w:rPr>
          <w:rFonts w:ascii="SimSun" w:hAnsi="SimSun" w:eastAsiaTheme="minorEastAsia" w:cs="SimSun"/>
          <w:color w:val="000000"/>
          <w:sz w:val="21"/>
          <w:szCs w:val="22"/>
          <w:lang w:val="en-US" w:eastAsia="en-US" w:bidi="ar-SA"/>
        </w:rPr>
        <w:t>日，发证机关为潍坊市生态环境局。</w:t>
      </w:r>
    </w:p>
    <w:p>
      <w:pPr>
        <w:framePr w:w="3091" w:x="2218" w:y="135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）潍坊先达废水的排放信息</w:t>
      </w:r>
    </w:p>
    <w:p>
      <w:pPr>
        <w:framePr w:w="9028" w:x="1798" w:y="13911"/>
        <w:widowControl w:val="0"/>
        <w:autoSpaceDE w:val="0"/>
        <w:autoSpaceDN w:val="0"/>
        <w:spacing w:line="258"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主要污染物类别：</w:t>
      </w:r>
      <w:r>
        <w:rPr>
          <w:rFonts w:ascii="Calibri" w:eastAsiaTheme="minorEastAsia" w:hAnsiTheme="minorHAnsi" w:cstheme="minorBidi"/>
          <w:color w:val="000000"/>
          <w:sz w:val="21"/>
          <w:szCs w:val="22"/>
          <w:lang w:val="en-US" w:eastAsia="en-US" w:bidi="ar-SA"/>
        </w:rPr>
        <w:t>COD</w:t>
      </w:r>
      <w:r>
        <w:rPr>
          <w:rFonts w:ascii="SimSun" w:hAnsi="SimSun" w:eastAsiaTheme="minorEastAsia" w:cs="SimSun"/>
          <w:color w:val="000000"/>
          <w:sz w:val="21"/>
          <w:szCs w:val="22"/>
          <w:lang w:val="en-US" w:eastAsia="en-US" w:bidi="ar-SA"/>
        </w:rPr>
        <w:t>、氨氮、其他特征污染物（甲苯、色度、动植物油、挥发酚、五日生</w:t>
      </w:r>
    </w:p>
    <w:p>
      <w:pPr>
        <w:framePr w:w="9028" w:x="1798" w:y="13911"/>
        <w:widowControl w:val="0"/>
        <w:autoSpaceDE w:val="0"/>
        <w:autoSpaceDN w:val="0"/>
        <w:spacing w:before="150"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化需氧量、石油类、悬浮物、</w:t>
      </w:r>
      <w:r>
        <w:rPr>
          <w:rFonts w:ascii="Calibri" w:eastAsiaTheme="minorEastAsia" w:hAnsiTheme="minorHAnsi" w:cstheme="minorBidi"/>
          <w:color w:val="000000"/>
          <w:spacing w:val="-2"/>
          <w:sz w:val="21"/>
          <w:szCs w:val="22"/>
          <w:lang w:val="en-US" w:eastAsia="en-US" w:bidi="ar-SA"/>
        </w:rPr>
        <w:t>pH</w:t>
      </w:r>
      <w:r>
        <w:rPr>
          <w:rFonts w:ascii="Calibri" w:eastAsiaTheme="minorEastAsia" w:hAnsiTheme="minorHAnsi" w:cstheme="minorBidi"/>
          <w:color w:val="000000"/>
          <w:spacing w:val="9"/>
          <w:sz w:val="21"/>
          <w:szCs w:val="22"/>
          <w:lang w:val="en-US" w:eastAsia="en-US" w:bidi="ar-SA"/>
        </w:rPr>
        <w:t xml:space="preserve"> </w:t>
      </w:r>
      <w:r>
        <w:rPr>
          <w:rFonts w:ascii="SimSun" w:hAnsi="SimSun" w:eastAsiaTheme="minorEastAsia" w:cs="SimSun"/>
          <w:color w:val="000000"/>
          <w:sz w:val="21"/>
          <w:szCs w:val="22"/>
          <w:lang w:val="en-US" w:eastAsia="en-US" w:bidi="ar-SA"/>
        </w:rPr>
        <w:t>值、总氮（以</w:t>
      </w:r>
      <w:r>
        <w:rPr>
          <w:rFonts w:eastAsiaTheme="minorEastAsia" w:hAnsiTheme="minorHAnsi" w:cstheme="minorBidi"/>
          <w:color w:val="000000"/>
          <w:spacing w:val="1"/>
          <w:sz w:val="21"/>
          <w:szCs w:val="22"/>
          <w:lang w:val="en-US" w:eastAsia="en-US" w:bidi="ar-SA"/>
        </w:rPr>
        <w:t xml:space="preserve"> </w:t>
      </w:r>
      <w:r>
        <w:rPr>
          <w:rFonts w:ascii="Calibri" w:eastAsiaTheme="minorEastAsia" w:hAnsiTheme="minorHAnsi" w:cstheme="minorBidi"/>
          <w:color w:val="000000"/>
          <w:sz w:val="21"/>
          <w:szCs w:val="22"/>
          <w:lang w:val="en-US" w:eastAsia="en-US" w:bidi="ar-SA"/>
        </w:rPr>
        <w:t>N</w:t>
      </w:r>
      <w:r>
        <w:rPr>
          <w:rFonts w:ascii="Calibri" w:eastAsiaTheme="minorEastAsia" w:hAnsiTheme="minorHAnsi" w:cstheme="minorBidi"/>
          <w:color w:val="000000"/>
          <w:spacing w:val="5"/>
          <w:sz w:val="21"/>
          <w:szCs w:val="22"/>
          <w:lang w:val="en-US" w:eastAsia="en-US" w:bidi="ar-SA"/>
        </w:rPr>
        <w:t xml:space="preserve"> </w:t>
      </w:r>
      <w:r>
        <w:rPr>
          <w:rFonts w:ascii="SimSun" w:hAnsi="SimSun" w:eastAsiaTheme="minorEastAsia" w:cs="SimSun"/>
          <w:color w:val="000000"/>
          <w:sz w:val="21"/>
          <w:szCs w:val="22"/>
          <w:lang w:val="en-US" w:eastAsia="en-US" w:bidi="ar-SA"/>
        </w:rPr>
        <w:t>计）、溶解性总固体）。</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23" type="#_x0000_t75" style="width:445.6pt;height:2.7pt;margin-top:53.5pt;margin-left:87.45pt;mso-position-horizontal-relative:page;mso-position-vertical-relative:page;position:absolute;z-index:-25161728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41" w:name="br1_40"/>
      <w:bookmarkEnd w:id="41"/>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06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水污染物排放执行标准名称：潍坊崇杰水处理有限公司接管标准、污水排入城镇下水道水质</w:t>
      </w:r>
    </w:p>
    <w:p>
      <w:pPr>
        <w:framePr w:w="906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标准</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GB/T31962-2015</w:t>
      </w:r>
      <w:r>
        <w:rPr>
          <w:rFonts w:ascii="SimSun" w:hAnsi="SimSun" w:eastAsiaTheme="minorEastAsia" w:cs="SimSun"/>
          <w:color w:val="000000"/>
          <w:sz w:val="21"/>
          <w:szCs w:val="22"/>
          <w:lang w:val="en-US" w:eastAsia="en-US" w:bidi="ar-SA"/>
        </w:rPr>
        <w:t>、污水综合排放标准</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GB8978-1996</w:t>
      </w:r>
      <w:r>
        <w:rPr>
          <w:rFonts w:ascii="SimSun" w:hAnsi="SimSun" w:eastAsiaTheme="minorEastAsia" w:cs="SimSun"/>
          <w:color w:val="000000"/>
          <w:sz w:val="21"/>
          <w:szCs w:val="22"/>
          <w:lang w:val="en-US" w:eastAsia="en-US" w:bidi="ar-SA"/>
        </w:rPr>
        <w:t>。</w:t>
      </w:r>
    </w:p>
    <w:p>
      <w:pPr>
        <w:framePr w:w="9110" w:x="1798" w:y="2354"/>
        <w:widowControl w:val="0"/>
        <w:autoSpaceDE w:val="0"/>
        <w:autoSpaceDN w:val="0"/>
        <w:spacing w:line="211" w:lineRule="exact"/>
        <w:ind w:left="40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主要废水污染物排放总量和浓度：</w:t>
      </w:r>
      <w:r>
        <w:rPr>
          <w:rFonts w:ascii="SimSun" w:eastAsiaTheme="minorEastAsia" w:hAnsiTheme="minorHAnsi" w:cstheme="minorBidi"/>
          <w:color w:val="000000"/>
          <w:spacing w:val="-1"/>
          <w:sz w:val="21"/>
          <w:szCs w:val="22"/>
          <w:lang w:val="en-US" w:eastAsia="en-US" w:bidi="ar-SA"/>
        </w:rPr>
        <w:t>COD</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115.07t/a</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2000mg/L</w:t>
      </w:r>
      <w:r>
        <w:rPr>
          <w:rFonts w:ascii="SimSun" w:hAnsi="SimSun" w:eastAsiaTheme="minorEastAsia" w:cs="SimSun"/>
          <w:color w:val="000000"/>
          <w:spacing w:val="-1"/>
          <w:sz w:val="21"/>
          <w:szCs w:val="22"/>
          <w:lang w:val="en-US" w:eastAsia="en-US" w:bidi="ar-SA"/>
        </w:rPr>
        <w:t>、氨氮</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5.75t/a</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100</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p>
    <w:p>
      <w:pPr>
        <w:framePr w:w="9110" w:x="1798" w:y="2354"/>
        <w:widowControl w:val="0"/>
        <w:autoSpaceDE w:val="0"/>
        <w:autoSpaceDN w:val="0"/>
        <w:spacing w:before="197" w:line="211" w:lineRule="exact"/>
        <w:ind w:left="408"/>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报告期内废水污染物排放总量和浓度：</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pacing w:val="1"/>
          <w:sz w:val="21"/>
          <w:szCs w:val="22"/>
          <w:lang w:val="en-US" w:eastAsia="en-US" w:bidi="ar-SA"/>
        </w:rPr>
        <w:t>总量</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69.17</w:t>
      </w:r>
      <w:r>
        <w:rPr>
          <w:rFonts w:ascii="SimSun" w:hAnsi="SimSun" w:eastAsiaTheme="minorEastAsia" w:cs="SimSun"/>
          <w:color w:val="000000"/>
          <w:spacing w:val="-24"/>
          <w:sz w:val="21"/>
          <w:szCs w:val="22"/>
          <w:lang w:val="en-US" w:eastAsia="en-US" w:bidi="ar-SA"/>
        </w:rPr>
        <w:t>吨，浓度</w:t>
      </w:r>
      <w:r>
        <w:rPr>
          <w:rFonts w:eastAsiaTheme="minorEastAsia" w:hAnsiTheme="minorHAnsi" w:cstheme="minorBidi"/>
          <w:color w:val="000000"/>
          <w:spacing w:val="7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COD650mg/L</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9"/>
          <w:sz w:val="21"/>
          <w:szCs w:val="22"/>
          <w:lang w:val="en-US" w:eastAsia="en-US" w:bidi="ar-SA"/>
        </w:rPr>
        <w:t>；氨氮总量</w:t>
      </w:r>
      <w:r>
        <w:rPr>
          <w:rFonts w:eastAsiaTheme="minorEastAsia" w:hAnsiTheme="minorHAnsi" w:cstheme="minorBidi"/>
          <w:color w:val="000000"/>
          <w:spacing w:val="2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4.49</w:t>
      </w:r>
    </w:p>
    <w:p>
      <w:pPr>
        <w:framePr w:w="9110"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吨，浓度</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41mg/L</w:t>
      </w:r>
      <w:r>
        <w:rPr>
          <w:rFonts w:ascii="SimSun" w:hAnsi="SimSun" w:eastAsiaTheme="minorEastAsia" w:cs="SimSun"/>
          <w:color w:val="000000"/>
          <w:spacing w:val="-1"/>
          <w:sz w:val="21"/>
          <w:szCs w:val="22"/>
          <w:lang w:val="en-US" w:eastAsia="en-US" w:bidi="ar-SA"/>
        </w:rPr>
        <w:t>。上述废气排放未超过排污许可证的总量。上述废水排放未超过排污许可证的总</w:t>
      </w:r>
    </w:p>
    <w:p>
      <w:pPr>
        <w:framePr w:w="9110"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量。</w:t>
      </w:r>
    </w:p>
    <w:p>
      <w:pPr>
        <w:framePr w:w="3302" w:x="2218" w:y="3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）潍坊先达废气的排放信息：</w:t>
      </w:r>
    </w:p>
    <w:p>
      <w:pPr>
        <w:framePr w:w="9069" w:x="1798" w:y="439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主要污染物类别：颗粒物、二氧化硫、氮氧化物、挥发性有机物、其他特征污染物（乙醇、</w:t>
      </w:r>
    </w:p>
    <w:p>
      <w:pPr>
        <w:framePr w:w="9069" w:x="1798" w:y="4397"/>
        <w:widowControl w:val="0"/>
        <w:autoSpaceDE w:val="0"/>
        <w:autoSpaceDN w:val="0"/>
        <w:spacing w:before="177"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甲苯、颗粒物、二氯甲烷、一氧化碳、氟化氢、苯、甲醛、甲醇、</w:t>
      </w:r>
      <w:r>
        <w:rPr>
          <w:rFonts w:ascii="Calibri"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二氯乙烷、氯化氢、硫化</w:t>
      </w:r>
    </w:p>
    <w:p>
      <w:pPr>
        <w:framePr w:w="9069" w:x="1798" w:y="4397"/>
        <w:widowControl w:val="0"/>
        <w:autoSpaceDE w:val="0"/>
        <w:autoSpaceDN w:val="0"/>
        <w:spacing w:before="1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氢、氨（氨气）、臭气浓度、二噁英类；</w:t>
      </w:r>
    </w:p>
    <w:p>
      <w:pPr>
        <w:framePr w:w="9110" w:x="1798" w:y="56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大气污染物排放形式：有组织、无组织；废水污染物排放规律：间断排放，排放期间流量稳</w:t>
      </w:r>
    </w:p>
    <w:p>
      <w:pPr>
        <w:framePr w:w="9110" w:x="1798" w:y="56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定。大气污染物排放执行标准名称：大气污染物综合排放标准</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GB16297-1996</w:t>
      </w:r>
      <w:r>
        <w:rPr>
          <w:rFonts w:ascii="SimSun" w:hAnsi="SimSun" w:eastAsiaTheme="minorEastAsia" w:cs="SimSun"/>
          <w:color w:val="000000"/>
          <w:spacing w:val="-1"/>
          <w:sz w:val="21"/>
          <w:szCs w:val="22"/>
          <w:lang w:val="en-US" w:eastAsia="en-US" w:bidi="ar-SA"/>
        </w:rPr>
        <w:t>、山东省区域性大气</w:t>
      </w:r>
    </w:p>
    <w:p>
      <w:pPr>
        <w:framePr w:w="9110" w:x="1798" w:y="56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污染物综合排放标准</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DB37/2376-2019</w:t>
      </w:r>
      <w:r>
        <w:rPr>
          <w:rFonts w:ascii="SimSun" w:hAnsi="SimSun" w:eastAsiaTheme="minorEastAsia" w:cs="SimSun"/>
          <w:color w:val="000000"/>
          <w:sz w:val="21"/>
          <w:szCs w:val="22"/>
          <w:lang w:val="en-US" w:eastAsia="en-US" w:bidi="ar-SA"/>
        </w:rPr>
        <w:t>、挥发性有机物排放标准第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部分：有机化工行</w:t>
      </w:r>
    </w:p>
    <w:p>
      <w:pPr>
        <w:framePr w:w="9110" w:x="1798" w:y="56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DB37/2801.6-2018</w:t>
      </w:r>
      <w:r>
        <w:rPr>
          <w:rFonts w:ascii="SimSun" w:hAnsi="SimSun" w:eastAsiaTheme="minorEastAsia" w:cs="SimSun"/>
          <w:color w:val="000000"/>
          <w:sz w:val="21"/>
          <w:szCs w:val="22"/>
          <w:lang w:val="en-US" w:eastAsia="en-US" w:bidi="ar-SA"/>
        </w:rPr>
        <w:t>）、恶臭污染物排放标准</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GB14554-93</w:t>
      </w:r>
      <w:r>
        <w:rPr>
          <w:rFonts w:ascii="SimSun" w:hAnsi="SimSun" w:eastAsiaTheme="minorEastAsia" w:cs="SimSun"/>
          <w:color w:val="000000"/>
          <w:sz w:val="21"/>
          <w:szCs w:val="22"/>
          <w:lang w:val="en-US" w:eastAsia="en-US" w:bidi="ar-SA"/>
        </w:rPr>
        <w:t>、挥发性有机物无组织排放标准（）</w:t>
      </w:r>
    </w:p>
    <w:p>
      <w:pPr>
        <w:framePr w:w="9110" w:x="1798" w:y="56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GB37822-2019</w:t>
      </w:r>
      <w:r>
        <w:rPr>
          <w:rFonts w:ascii="SimSun" w:hAnsi="SimSun" w:eastAsiaTheme="minorEastAsia" w:cs="SimSun"/>
          <w:color w:val="000000"/>
          <w:spacing w:val="-1"/>
          <w:sz w:val="21"/>
          <w:szCs w:val="22"/>
          <w:lang w:val="en-US" w:eastAsia="en-US" w:bidi="ar-SA"/>
        </w:rPr>
        <w:t>）。</w:t>
      </w:r>
    </w:p>
    <w:p>
      <w:pPr>
        <w:framePr w:w="8658" w:x="2218" w:y="77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根据排污许可大气排放口共</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9</w:t>
      </w:r>
      <w:r>
        <w:rPr>
          <w:rFonts w:ascii="SimSun" w:hAnsi="SimSun" w:eastAsiaTheme="minorEastAsia" w:cs="SimSun"/>
          <w:color w:val="000000"/>
          <w:spacing w:val="-10"/>
          <w:sz w:val="21"/>
          <w:szCs w:val="22"/>
          <w:lang w:val="en-US" w:eastAsia="en-US" w:bidi="ar-SA"/>
        </w:rPr>
        <w:t>个，主要排放口</w:t>
      </w:r>
      <w:r>
        <w:rPr>
          <w:rFonts w:eastAsiaTheme="minorEastAsia" w:hAnsiTheme="minorHAnsi" w:cstheme="minorBidi"/>
          <w:color w:val="000000"/>
          <w:spacing w:val="1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pacing w:val="-10"/>
          <w:sz w:val="21"/>
          <w:szCs w:val="22"/>
          <w:lang w:val="en-US" w:eastAsia="en-US" w:bidi="ar-SA"/>
        </w:rPr>
        <w:t>个，一般排放口</w:t>
      </w:r>
      <w:r>
        <w:rPr>
          <w:rFonts w:eastAsiaTheme="minorEastAsia" w:hAnsiTheme="minorHAnsi" w:cstheme="minorBidi"/>
          <w:color w:val="000000"/>
          <w:spacing w:val="1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pacing w:val="-7"/>
          <w:sz w:val="21"/>
          <w:szCs w:val="22"/>
          <w:lang w:val="en-US" w:eastAsia="en-US" w:bidi="ar-SA"/>
        </w:rPr>
        <w:t>个，废水主要排放口</w:t>
      </w:r>
      <w:r>
        <w:rPr>
          <w:rFonts w:eastAsiaTheme="minorEastAsia" w:hAnsiTheme="minorHAnsi" w:cstheme="minorBidi"/>
          <w:color w:val="000000"/>
          <w:spacing w:val="9"/>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1"/>
          <w:sz w:val="21"/>
          <w:szCs w:val="22"/>
          <w:lang w:val="en-US" w:eastAsia="en-US" w:bidi="ar-SA"/>
        </w:rPr>
        <w:t>个。</w:t>
      </w:r>
    </w:p>
    <w:p>
      <w:pPr>
        <w:framePr w:w="3872" w:x="1798" w:y="81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分布情况：经度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119</w:t>
      </w:r>
      <w:r>
        <w:rPr>
          <w:rFonts w:ascii="SimSun" w:hAnsi="SimSun" w:eastAsiaTheme="minorEastAsia" w:cs="SimSun"/>
          <w:color w:val="000000"/>
          <w:spacing w:val="2"/>
          <w:sz w:val="15"/>
          <w:szCs w:val="22"/>
          <w:lang w:val="en-US" w:eastAsia="en-US" w:bidi="ar-SA"/>
        </w:rPr>
        <w:t>。</w:t>
      </w:r>
      <w:r>
        <w:rPr>
          <w:rFonts w:ascii="SimSun" w:eastAsiaTheme="minorEastAsia" w:hAnsiTheme="minorHAnsi" w:cstheme="minorBidi"/>
          <w:color w:val="000000"/>
          <w:spacing w:val="58"/>
          <w:sz w:val="21"/>
          <w:szCs w:val="22"/>
          <w:lang w:val="en-US" w:eastAsia="en-US" w:bidi="ar-SA"/>
        </w:rPr>
        <w:t>4</w:t>
      </w:r>
      <w:r>
        <w:rPr>
          <w:rFonts w:ascii="SimSun" w:hAnsi="SimSun" w:eastAsiaTheme="minorEastAsia" w:cs="SimSun"/>
          <w:color w:val="000000"/>
          <w:sz w:val="21"/>
          <w:szCs w:val="22"/>
          <w:lang w:val="en-US" w:eastAsia="en-US" w:bidi="ar-SA"/>
        </w:rPr>
        <w:t>、纬度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37</w:t>
      </w:r>
      <w:r>
        <w:rPr>
          <w:rFonts w:ascii="SimSun" w:hAnsi="SimSun" w:eastAsiaTheme="minorEastAsia" w:cs="SimSun"/>
          <w:color w:val="000000"/>
          <w:spacing w:val="1"/>
          <w:sz w:val="15"/>
          <w:szCs w:val="22"/>
          <w:lang w:val="en-US" w:eastAsia="en-US" w:bidi="ar-SA"/>
        </w:rPr>
        <w:t>。</w:t>
      </w:r>
      <w:r>
        <w:rPr>
          <w:rFonts w:ascii="SimSun" w:eastAsiaTheme="minorEastAsia" w:hAnsiTheme="minorHAnsi" w:cstheme="minorBidi"/>
          <w:color w:val="000000"/>
          <w:sz w:val="21"/>
          <w:szCs w:val="22"/>
          <w:lang w:val="en-US" w:eastAsia="en-US" w:bidi="ar-SA"/>
        </w:rPr>
        <w:t>7</w:t>
      </w:r>
      <w:r>
        <w:rPr>
          <w:rFonts w:ascii="SimSun"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w:t>
      </w:r>
    </w:p>
    <w:p>
      <w:pPr>
        <w:framePr w:w="3872" w:x="1798" w:y="8194"/>
        <w:widowControl w:val="0"/>
        <w:autoSpaceDE w:val="0"/>
        <w:autoSpaceDN w:val="0"/>
        <w:spacing w:line="120" w:lineRule="exact"/>
        <w:ind w:left="2096"/>
        <w:rPr>
          <w:rFonts w:eastAsiaTheme="minorEastAsia" w:hAnsiTheme="minorHAnsi" w:cstheme="minorBidi"/>
          <w:color w:val="000000"/>
          <w:sz w:val="12"/>
          <w:szCs w:val="22"/>
          <w:lang w:val="en-US" w:eastAsia="en-US" w:bidi="ar-SA"/>
        </w:rPr>
      </w:pPr>
      <w:r>
        <w:rPr>
          <w:rFonts w:ascii="SimSun" w:eastAsiaTheme="minorEastAsia" w:hAnsiTheme="minorHAnsi" w:cstheme="minorBidi"/>
          <w:color w:val="000000"/>
          <w:sz w:val="12"/>
          <w:szCs w:val="22"/>
          <w:lang w:val="en-US" w:eastAsia="en-US" w:bidi="ar-SA"/>
        </w:rPr>
        <w:t>,</w:t>
      </w:r>
      <w:r>
        <w:rPr>
          <w:rFonts w:ascii="SimSun" w:eastAsiaTheme="minorEastAsia" w:hAnsiTheme="minorHAnsi" w:cstheme="minorBidi"/>
          <w:color w:val="000000"/>
          <w:spacing w:val="1087"/>
          <w:sz w:val="12"/>
          <w:szCs w:val="22"/>
          <w:lang w:val="en-US" w:eastAsia="en-US" w:bidi="ar-SA"/>
        </w:rPr>
        <w:t xml:space="preserve"> </w:t>
      </w:r>
      <w:r>
        <w:rPr>
          <w:rFonts w:ascii="SimSun" w:hAnsi="SimSun" w:eastAsiaTheme="minorEastAsia" w:cs="SimSun"/>
          <w:color w:val="000000"/>
          <w:sz w:val="12"/>
          <w:szCs w:val="22"/>
          <w:lang w:val="en-US" w:eastAsia="en-US" w:bidi="ar-SA"/>
        </w:rPr>
        <w:t>，</w:t>
      </w:r>
    </w:p>
    <w:p>
      <w:pPr>
        <w:framePr w:w="9062" w:x="1798" w:y="8703"/>
        <w:widowControl w:val="0"/>
        <w:autoSpaceDE w:val="0"/>
        <w:autoSpaceDN w:val="0"/>
        <w:spacing w:line="258" w:lineRule="exact"/>
        <w:ind w:left="48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排污许可证气体污染物排放总量：颗粒物</w:t>
      </w:r>
      <w:r>
        <w:rPr>
          <w:rFonts w:eastAsiaTheme="minorEastAsia" w:hAnsiTheme="minorHAnsi" w:cstheme="minorBidi"/>
          <w:color w:val="000000"/>
          <w:spacing w:val="1"/>
          <w:sz w:val="21"/>
          <w:szCs w:val="22"/>
          <w:lang w:val="en-US" w:eastAsia="en-US" w:bidi="ar-SA"/>
        </w:rPr>
        <w:t xml:space="preserve"> </w:t>
      </w:r>
      <w:r>
        <w:rPr>
          <w:rFonts w:ascii="Calibri" w:eastAsiaTheme="minorEastAsia" w:hAnsiTheme="minorHAnsi" w:cstheme="minorBidi"/>
          <w:color w:val="000000"/>
          <w:sz w:val="21"/>
          <w:szCs w:val="22"/>
          <w:lang w:val="en-US" w:eastAsia="en-US" w:bidi="ar-SA"/>
        </w:rPr>
        <w:t>1.152t/a</w:t>
      </w:r>
      <w:r>
        <w:rPr>
          <w:rFonts w:ascii="SimSun" w:hAnsi="SimSun" w:eastAsiaTheme="minorEastAsia" w:cs="SimSun"/>
          <w:color w:val="000000"/>
          <w:sz w:val="21"/>
          <w:szCs w:val="22"/>
          <w:lang w:val="en-US" w:eastAsia="en-US" w:bidi="ar-SA"/>
        </w:rPr>
        <w:t>、二氧化硫</w:t>
      </w:r>
      <w:r>
        <w:rPr>
          <w:rFonts w:eastAsiaTheme="minorEastAsia" w:hAnsiTheme="minorHAnsi" w:cstheme="minorBidi"/>
          <w:color w:val="000000"/>
          <w:spacing w:val="1"/>
          <w:sz w:val="21"/>
          <w:szCs w:val="22"/>
          <w:lang w:val="en-US" w:eastAsia="en-US" w:bidi="ar-SA"/>
        </w:rPr>
        <w:t xml:space="preserve"> </w:t>
      </w:r>
      <w:r>
        <w:rPr>
          <w:rFonts w:ascii="Calibri" w:eastAsiaTheme="minorEastAsia" w:hAnsiTheme="minorHAnsi" w:cstheme="minorBidi"/>
          <w:color w:val="000000"/>
          <w:sz w:val="21"/>
          <w:szCs w:val="22"/>
          <w:lang w:val="en-US" w:eastAsia="en-US" w:bidi="ar-SA"/>
        </w:rPr>
        <w:t>5.76t/a</w:t>
      </w:r>
      <w:r>
        <w:rPr>
          <w:rFonts w:ascii="SimSun" w:hAnsi="SimSun" w:eastAsiaTheme="minorEastAsia" w:cs="SimSun"/>
          <w:color w:val="000000"/>
          <w:sz w:val="21"/>
          <w:szCs w:val="22"/>
          <w:lang w:val="en-US" w:eastAsia="en-US" w:bidi="ar-SA"/>
        </w:rPr>
        <w:t>、氮氧化物</w:t>
      </w:r>
      <w:r>
        <w:rPr>
          <w:rFonts w:eastAsiaTheme="minorEastAsia" w:hAnsiTheme="minorHAnsi" w:cstheme="minorBidi"/>
          <w:color w:val="000000"/>
          <w:sz w:val="21"/>
          <w:szCs w:val="22"/>
          <w:lang w:val="en-US" w:eastAsia="en-US" w:bidi="ar-SA"/>
        </w:rPr>
        <w:t xml:space="preserve"> </w:t>
      </w:r>
      <w:r>
        <w:rPr>
          <w:rFonts w:ascii="Calibri" w:eastAsiaTheme="minorEastAsia" w:hAnsiTheme="minorHAnsi" w:cstheme="minorBidi"/>
          <w:color w:val="000000"/>
          <w:sz w:val="21"/>
          <w:szCs w:val="22"/>
          <w:lang w:val="en-US" w:eastAsia="en-US" w:bidi="ar-SA"/>
        </w:rPr>
        <w:t>11.52t/a</w:t>
      </w:r>
      <w:r>
        <w:rPr>
          <w:rFonts w:ascii="SimSun" w:hAnsi="SimSun" w:eastAsiaTheme="minorEastAsia" w:cs="SimSun"/>
          <w:color w:val="000000"/>
          <w:sz w:val="21"/>
          <w:szCs w:val="22"/>
          <w:lang w:val="en-US" w:eastAsia="en-US" w:bidi="ar-SA"/>
        </w:rPr>
        <w:t>、</w:t>
      </w:r>
    </w:p>
    <w:p>
      <w:pPr>
        <w:framePr w:w="9062" w:x="1798" w:y="8703"/>
        <w:widowControl w:val="0"/>
        <w:autoSpaceDE w:val="0"/>
        <w:autoSpaceDN w:val="0"/>
        <w:spacing w:before="150"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挥发性有机物</w:t>
      </w:r>
      <w:r>
        <w:rPr>
          <w:rFonts w:eastAsiaTheme="minorEastAsia" w:hAnsiTheme="minorHAnsi" w:cstheme="minorBidi"/>
          <w:color w:val="000000"/>
          <w:spacing w:val="-1"/>
          <w:sz w:val="21"/>
          <w:szCs w:val="22"/>
          <w:lang w:val="en-US" w:eastAsia="en-US" w:bidi="ar-SA"/>
        </w:rPr>
        <w:t xml:space="preserve"> </w:t>
      </w:r>
      <w:r>
        <w:rPr>
          <w:rFonts w:ascii="Calibri" w:eastAsiaTheme="minorEastAsia" w:hAnsiTheme="minorHAnsi" w:cstheme="minorBidi"/>
          <w:color w:val="000000"/>
          <w:sz w:val="21"/>
          <w:szCs w:val="22"/>
          <w:lang w:val="en-US" w:eastAsia="en-US" w:bidi="ar-SA"/>
        </w:rPr>
        <w:t>7.342t/a</w:t>
      </w:r>
      <w:r>
        <w:rPr>
          <w:rFonts w:ascii="SimSun" w:hAnsi="SimSun" w:eastAsiaTheme="minorEastAsia" w:cs="SimSun"/>
          <w:color w:val="000000"/>
          <w:sz w:val="21"/>
          <w:szCs w:val="22"/>
          <w:lang w:val="en-US" w:eastAsia="en-US" w:bidi="ar-SA"/>
        </w:rPr>
        <w:t>。</w:t>
      </w:r>
    </w:p>
    <w:p>
      <w:pPr>
        <w:framePr w:w="9078" w:x="1798" w:y="9639"/>
        <w:widowControl w:val="0"/>
        <w:autoSpaceDE w:val="0"/>
        <w:autoSpaceDN w:val="0"/>
        <w:spacing w:line="258"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气体污染物标准排放浓度：颗粒物</w:t>
      </w:r>
      <w:r>
        <w:rPr>
          <w:rFonts w:eastAsiaTheme="minorEastAsia" w:hAnsiTheme="minorHAnsi" w:cstheme="minorBidi"/>
          <w:color w:val="000000"/>
          <w:spacing w:val="7"/>
          <w:sz w:val="21"/>
          <w:szCs w:val="22"/>
          <w:lang w:val="en-US" w:eastAsia="en-US" w:bidi="ar-SA"/>
        </w:rPr>
        <w:t xml:space="preserve"> </w:t>
      </w:r>
      <w:r>
        <w:rPr>
          <w:rFonts w:ascii="Calibri" w:eastAsiaTheme="minorEastAsia" w:hAnsiTheme="minorHAnsi" w:cstheme="minorBidi"/>
          <w:color w:val="000000"/>
          <w:sz w:val="21"/>
          <w:szCs w:val="22"/>
          <w:lang w:val="en-US" w:eastAsia="en-US" w:bidi="ar-SA"/>
        </w:rPr>
        <w:t>10mg/Nm3</w:t>
      </w:r>
      <w:r>
        <w:rPr>
          <w:rFonts w:ascii="SimSun" w:hAnsi="SimSun" w:eastAsiaTheme="minorEastAsia" w:cs="SimSun"/>
          <w:color w:val="000000"/>
          <w:spacing w:val="-15"/>
          <w:sz w:val="21"/>
          <w:szCs w:val="22"/>
          <w:lang w:val="en-US" w:eastAsia="en-US" w:bidi="ar-SA"/>
        </w:rPr>
        <w:t>、二氧化硫</w:t>
      </w:r>
      <w:r>
        <w:rPr>
          <w:rFonts w:eastAsiaTheme="minorEastAsia" w:hAnsiTheme="minorHAnsi" w:cstheme="minorBidi"/>
          <w:color w:val="000000"/>
          <w:spacing w:val="16"/>
          <w:sz w:val="21"/>
          <w:szCs w:val="22"/>
          <w:lang w:val="en-US" w:eastAsia="en-US" w:bidi="ar-SA"/>
        </w:rPr>
        <w:t xml:space="preserve"> </w:t>
      </w:r>
      <w:r>
        <w:rPr>
          <w:rFonts w:ascii="Calibri" w:eastAsiaTheme="minorEastAsia" w:hAnsiTheme="minorHAnsi" w:cstheme="minorBidi"/>
          <w:color w:val="000000"/>
          <w:sz w:val="21"/>
          <w:szCs w:val="22"/>
          <w:lang w:val="en-US" w:eastAsia="en-US" w:bidi="ar-SA"/>
        </w:rPr>
        <w:t>50mg/Nm3</w:t>
      </w:r>
      <w:r>
        <w:rPr>
          <w:rFonts w:ascii="SimSun" w:hAnsi="SimSun" w:eastAsiaTheme="minorEastAsia" w:cs="SimSun"/>
          <w:color w:val="000000"/>
          <w:spacing w:val="-15"/>
          <w:sz w:val="21"/>
          <w:szCs w:val="22"/>
          <w:lang w:val="en-US" w:eastAsia="en-US" w:bidi="ar-SA"/>
        </w:rPr>
        <w:t>、氮氧化物</w:t>
      </w:r>
      <w:r>
        <w:rPr>
          <w:rFonts w:eastAsiaTheme="minorEastAsia" w:hAnsiTheme="minorHAnsi" w:cstheme="minorBidi"/>
          <w:color w:val="000000"/>
          <w:spacing w:val="17"/>
          <w:sz w:val="21"/>
          <w:szCs w:val="22"/>
          <w:lang w:val="en-US" w:eastAsia="en-US" w:bidi="ar-SA"/>
        </w:rPr>
        <w:t xml:space="preserve"> </w:t>
      </w:r>
      <w:r>
        <w:rPr>
          <w:rFonts w:ascii="Calibri" w:eastAsiaTheme="minorEastAsia" w:hAnsiTheme="minorHAnsi" w:cstheme="minorBidi"/>
          <w:color w:val="000000"/>
          <w:sz w:val="21"/>
          <w:szCs w:val="22"/>
          <w:lang w:val="en-US" w:eastAsia="en-US" w:bidi="ar-SA"/>
        </w:rPr>
        <w:t>100mg/Nm3</w:t>
      </w:r>
      <w:r>
        <w:rPr>
          <w:rFonts w:ascii="SimSun" w:hAnsi="SimSun" w:eastAsiaTheme="minorEastAsia" w:cs="SimSun"/>
          <w:color w:val="000000"/>
          <w:sz w:val="21"/>
          <w:szCs w:val="22"/>
          <w:lang w:val="en-US" w:eastAsia="en-US" w:bidi="ar-SA"/>
        </w:rPr>
        <w:t>、</w:t>
      </w:r>
    </w:p>
    <w:p>
      <w:pPr>
        <w:framePr w:w="9078" w:x="1798" w:y="9639"/>
        <w:widowControl w:val="0"/>
        <w:autoSpaceDE w:val="0"/>
        <w:autoSpaceDN w:val="0"/>
        <w:spacing w:before="153"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挥发性有机物</w:t>
      </w:r>
      <w:r>
        <w:rPr>
          <w:rFonts w:eastAsiaTheme="minorEastAsia" w:hAnsiTheme="minorHAnsi" w:cstheme="minorBidi"/>
          <w:color w:val="000000"/>
          <w:spacing w:val="-1"/>
          <w:sz w:val="21"/>
          <w:szCs w:val="22"/>
          <w:lang w:val="en-US" w:eastAsia="en-US" w:bidi="ar-SA"/>
        </w:rPr>
        <w:t xml:space="preserve"> </w:t>
      </w:r>
      <w:r>
        <w:rPr>
          <w:rFonts w:ascii="Calibri" w:eastAsiaTheme="minorEastAsia" w:hAnsiTheme="minorHAnsi" w:cstheme="minorBidi"/>
          <w:color w:val="000000"/>
          <w:sz w:val="21"/>
          <w:szCs w:val="22"/>
          <w:lang w:val="en-US" w:eastAsia="en-US" w:bidi="ar-SA"/>
        </w:rPr>
        <w:t>60mg/Nm3</w:t>
      </w:r>
      <w:r>
        <w:rPr>
          <w:rFonts w:ascii="SimSun" w:hAnsi="SimSun" w:eastAsiaTheme="minorEastAsia" w:cs="SimSun"/>
          <w:color w:val="000000"/>
          <w:sz w:val="21"/>
          <w:szCs w:val="22"/>
          <w:lang w:val="en-US" w:eastAsia="en-US" w:bidi="ar-SA"/>
        </w:rPr>
        <w:t>；</w:t>
      </w:r>
    </w:p>
    <w:p>
      <w:pPr>
        <w:framePr w:w="9110" w:x="1798" w:y="104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报告期内主要气体污染物排放总量及浓度：颗粒物总量</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0.768t</w:t>
      </w:r>
      <w:r>
        <w:rPr>
          <w:rFonts w:ascii="SimSun" w:hAnsi="SimSun" w:eastAsiaTheme="minorEastAsia" w:cs="SimSun"/>
          <w:color w:val="000000"/>
          <w:sz w:val="21"/>
          <w:szCs w:val="22"/>
          <w:lang w:val="en-US" w:eastAsia="en-US" w:bidi="ar-SA"/>
        </w:rPr>
        <w:t>，浓度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4.75mg/Nm3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；二氧化</w:t>
      </w:r>
    </w:p>
    <w:p>
      <w:pPr>
        <w:framePr w:w="9110" w:x="1798" w:y="10477"/>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硫</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0.65</w:t>
      </w:r>
      <w:r>
        <w:rPr>
          <w:rFonts w:ascii="SimSun" w:hAnsi="SimSun" w:eastAsiaTheme="minorEastAsia" w:cs="SimSun"/>
          <w:color w:val="000000"/>
          <w:spacing w:val="-22"/>
          <w:sz w:val="21"/>
          <w:szCs w:val="22"/>
          <w:lang w:val="en-US" w:eastAsia="en-US" w:bidi="ar-SA"/>
        </w:rPr>
        <w:t>吨，浓度</w:t>
      </w:r>
      <w:r>
        <w:rPr>
          <w:rFonts w:eastAsiaTheme="minorEastAsia" w:hAnsiTheme="minorHAnsi" w:cstheme="minorBidi"/>
          <w:color w:val="000000"/>
          <w:spacing w:val="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6.75</w:t>
      </w:r>
      <w:r>
        <w:rPr>
          <w:rFonts w:ascii="SimSun"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mg/Nm3</w:t>
      </w:r>
      <w:r>
        <w:rPr>
          <w:rFonts w:ascii="SimSun" w:hAnsi="SimSun" w:eastAsiaTheme="minorEastAsia" w:cs="SimSun"/>
          <w:color w:val="000000"/>
          <w:spacing w:val="-13"/>
          <w:sz w:val="21"/>
          <w:szCs w:val="22"/>
          <w:lang w:val="en-US" w:eastAsia="en-US" w:bidi="ar-SA"/>
        </w:rPr>
        <w:t>；氮氧化物总量</w:t>
      </w:r>
      <w:r>
        <w:rPr>
          <w:rFonts w:eastAsiaTheme="minorEastAsia" w:hAnsiTheme="minorHAnsi" w:cstheme="minorBidi"/>
          <w:color w:val="000000"/>
          <w:spacing w:val="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4.297t</w:t>
      </w:r>
      <w:r>
        <w:rPr>
          <w:rFonts w:ascii="SimSun" w:hAnsi="SimSun" w:eastAsiaTheme="minorEastAsia" w:cs="SimSun"/>
          <w:color w:val="000000"/>
          <w:spacing w:val="-45"/>
          <w:sz w:val="21"/>
          <w:szCs w:val="22"/>
          <w:lang w:val="en-US" w:eastAsia="en-US" w:bidi="ar-SA"/>
        </w:rPr>
        <w:t>，浓</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38.75mg/Nm3</w:t>
      </w:r>
      <w:r>
        <w:rPr>
          <w:rFonts w:ascii="SimSun" w:hAnsi="SimSun" w:eastAsiaTheme="minorEastAsia" w:cs="SimSun"/>
          <w:color w:val="000000"/>
          <w:spacing w:val="-10"/>
          <w:sz w:val="21"/>
          <w:szCs w:val="22"/>
          <w:lang w:val="en-US" w:eastAsia="en-US" w:bidi="ar-SA"/>
        </w:rPr>
        <w:t>；挥发性有机物总量</w:t>
      </w:r>
      <w:r>
        <w:rPr>
          <w:rFonts w:eastAsiaTheme="minorEastAsia" w:hAnsiTheme="minorHAnsi" w:cstheme="minorBidi"/>
          <w:color w:val="000000"/>
          <w:spacing w:val="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1.96t</w:t>
      </w:r>
    </w:p>
    <w:p>
      <w:pPr>
        <w:framePr w:w="9110" w:x="1798" w:y="104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浓度</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8.3mg/Nm3</w:t>
      </w:r>
      <w:r>
        <w:rPr>
          <w:rFonts w:ascii="SimSun" w:hAnsi="SimSun" w:eastAsiaTheme="minorEastAsia" w:cs="SimSun"/>
          <w:color w:val="000000"/>
          <w:sz w:val="21"/>
          <w:szCs w:val="22"/>
          <w:lang w:val="en-US" w:eastAsia="en-US" w:bidi="ar-SA"/>
        </w:rPr>
        <w:t>。上述废气排放未超过排污许可证的总量。</w:t>
      </w:r>
    </w:p>
    <w:p>
      <w:pPr>
        <w:framePr w:w="2242" w:x="2218" w:y="1168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color w:val="000000"/>
          <w:spacing w:val="1"/>
          <w:sz w:val="21"/>
          <w:szCs w:val="22"/>
          <w:lang w:val="en-US" w:eastAsia="en-US" w:bidi="ar-SA"/>
        </w:rPr>
        <w:t>1.3</w:t>
      </w:r>
      <w:r>
        <w:rPr>
          <w:rFonts w:ascii="Calibri" w:eastAsiaTheme="minorEastAsia" w:hAnsiTheme="minorHAnsi" w:cstheme="minorBidi"/>
          <w:color w:val="000000"/>
          <w:spacing w:val="4"/>
          <w:sz w:val="21"/>
          <w:szCs w:val="22"/>
          <w:lang w:val="en-US" w:eastAsia="en-US" w:bidi="ar-SA"/>
        </w:rPr>
        <w:t xml:space="preserve"> </w:t>
      </w:r>
      <w:r>
        <w:rPr>
          <w:rFonts w:ascii="SimSun" w:hAnsi="SimSun" w:eastAsiaTheme="minorEastAsia" w:cs="SimSun"/>
          <w:color w:val="000000"/>
          <w:sz w:val="21"/>
          <w:szCs w:val="22"/>
          <w:lang w:val="en-US" w:eastAsia="en-US" w:bidi="ar-SA"/>
        </w:rPr>
        <w:t>辽宁先达排污信息</w:t>
      </w:r>
    </w:p>
    <w:p>
      <w:pPr>
        <w:framePr w:w="9066" w:x="1798" w:y="1211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根据全国排污许可证管理信息平台，其《排污许可证》（编号：</w:t>
      </w:r>
      <w:r>
        <w:rPr>
          <w:rFonts w:ascii="SimSun" w:eastAsiaTheme="minorEastAsia" w:hAnsiTheme="minorHAnsi" w:cstheme="minorBidi"/>
          <w:color w:val="000000"/>
          <w:sz w:val="21"/>
          <w:szCs w:val="22"/>
          <w:lang w:val="en-US" w:eastAsia="en-US" w:bidi="ar-SA"/>
        </w:rPr>
        <w:t>91211400MA0UL8H84Q</w:t>
      </w:r>
      <w:r>
        <w:rPr>
          <w:rFonts w:ascii="SimSun" w:hAnsi="SimSun" w:eastAsiaTheme="minorEastAsia" w:cs="SimSun"/>
          <w:color w:val="000000"/>
          <w:sz w:val="21"/>
          <w:szCs w:val="22"/>
          <w:lang w:val="en-US" w:eastAsia="en-US" w:bidi="ar-SA"/>
        </w:rPr>
        <w:t>）有效</w:t>
      </w:r>
    </w:p>
    <w:p>
      <w:pPr>
        <w:framePr w:w="9066" w:x="1798" w:y="121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期至</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2022</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w:t>
      </w:r>
      <w:r>
        <w:rPr>
          <w:rFonts w:ascii="SimSun" w:hAnsi="SimSun" w:eastAsiaTheme="minorEastAsia" w:cs="SimSun"/>
          <w:color w:val="000000"/>
          <w:sz w:val="21"/>
          <w:szCs w:val="22"/>
          <w:lang w:val="en-US" w:eastAsia="en-US" w:bidi="ar-SA"/>
        </w:rPr>
        <w:t>日，发证机关为葫芦岛市生态环境局。</w:t>
      </w:r>
    </w:p>
    <w:p>
      <w:pPr>
        <w:framePr w:w="3091" w:x="2218" w:y="13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）辽宁先达废水的排放信息</w:t>
      </w:r>
    </w:p>
    <w:p>
      <w:pPr>
        <w:framePr w:w="9078" w:x="1798" w:y="135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废水主要污染物种类：</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pacing w:val="-3"/>
          <w:sz w:val="21"/>
          <w:szCs w:val="22"/>
          <w:lang w:val="en-US" w:eastAsia="en-US" w:bidi="ar-SA"/>
        </w:rPr>
        <w:t>、氨氮、总氮、其他特征污染物（苯胺类、色度、氯苯、溶解性总</w:t>
      </w:r>
    </w:p>
    <w:p>
      <w:pPr>
        <w:framePr w:w="9078" w:x="1798" w:y="1357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固体、悬浮物、二甲苯、甲醇、五日生化需氧量、</w:t>
      </w:r>
      <w:r>
        <w:rPr>
          <w:rFonts w:ascii="SimSun" w:eastAsiaTheme="minorEastAsia" w:hAnsiTheme="minorHAnsi" w:cstheme="minorBidi"/>
          <w:color w:val="000000"/>
          <w:spacing w:val="-1"/>
          <w:sz w:val="21"/>
          <w:szCs w:val="22"/>
          <w:lang w:val="en-US" w:eastAsia="en-US" w:bidi="ar-SA"/>
        </w:rPr>
        <w:t>pH</w:t>
      </w:r>
      <w:r>
        <w:rPr>
          <w:rFonts w:ascii="SimSun" w:hAnsi="SimSun" w:eastAsiaTheme="minorEastAsia" w:cs="SimSun"/>
          <w:color w:val="000000"/>
          <w:sz w:val="21"/>
          <w:szCs w:val="22"/>
          <w:lang w:val="en-US" w:eastAsia="en-US" w:bidi="ar-SA"/>
        </w:rPr>
        <w:t>值）。</w:t>
      </w:r>
    </w:p>
    <w:p>
      <w:pPr>
        <w:framePr w:w="8688" w:x="2218" w:y="145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水污染物排放执行标准名称：葫芦岛北港工业园区污水处理有限公司进水指标要求、污水综</w:t>
      </w:r>
    </w:p>
    <w:p>
      <w:pPr>
        <w:framePr w:w="6755" w:x="1798" w:y="149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合排放标准</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GB8978-1996</w:t>
      </w:r>
      <w:r>
        <w:rPr>
          <w:rFonts w:ascii="SimSun" w:hAnsi="SimSun" w:eastAsiaTheme="minorEastAsia" w:cs="SimSun"/>
          <w:color w:val="000000"/>
          <w:sz w:val="21"/>
          <w:szCs w:val="22"/>
          <w:lang w:val="en-US" w:eastAsia="en-US" w:bidi="ar-SA"/>
        </w:rPr>
        <w:t>、辽宁省污水综合排放标准</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DB21-1627-2008</w:t>
      </w:r>
      <w:r>
        <w:rPr>
          <w:rFonts w:ascii="SimSun" w:hAnsi="SimSun" w:eastAsiaTheme="minorEastAsia" w:cs="SimSun"/>
          <w:color w:val="000000"/>
          <w:sz w:val="21"/>
          <w:szCs w:val="22"/>
          <w:lang w:val="en-US" w:eastAsia="en-US" w:bidi="ar-SA"/>
        </w:rPr>
        <w:t>。</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24" type="#_x0000_t75" style="width:445.6pt;height:2.7pt;margin-top:53.5pt;margin-left:87.45pt;mso-position-horizontal-relative:page;mso-position-vertical-relative:page;position:absolute;z-index:-25161625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42" w:name="br1_41"/>
      <w:bookmarkEnd w:id="42"/>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759" w:x="2218" w:y="1529"/>
        <w:widowControl w:val="0"/>
        <w:autoSpaceDE w:val="0"/>
        <w:autoSpaceDN w:val="0"/>
        <w:spacing w:line="234"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废水主要排放口</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z w:val="21"/>
          <w:szCs w:val="22"/>
          <w:lang w:val="en-US" w:eastAsia="en-US" w:bidi="ar-SA"/>
        </w:rPr>
        <w:t>个。分布情况：经度</w:t>
      </w:r>
      <w:r>
        <w:rPr>
          <w:rFonts w:eastAsiaTheme="minorEastAsia" w:hAnsiTheme="minorHAnsi" w:cstheme="minorBidi"/>
          <w:color w:val="000000"/>
          <w:spacing w:val="1"/>
          <w:sz w:val="21"/>
          <w:szCs w:val="22"/>
          <w:lang w:val="en-US" w:eastAsia="en-US" w:bidi="ar-SA"/>
        </w:rPr>
        <w:t xml:space="preserve"> </w:t>
      </w:r>
      <w:r>
        <w:rPr>
          <w:rFonts w:eastAsiaTheme="minorEastAsia" w:hAnsiTheme="minorHAnsi" w:cstheme="minorBidi"/>
          <w:color w:val="000000"/>
          <w:spacing w:val="-1"/>
          <w:sz w:val="21"/>
          <w:szCs w:val="22"/>
          <w:lang w:val="en-US" w:eastAsia="en-US" w:bidi="ar-SA"/>
        </w:rPr>
        <w:t>120</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z w:val="21"/>
          <w:szCs w:val="22"/>
          <w:lang w:val="en-US" w:eastAsia="en-US" w:bidi="ar-SA"/>
        </w:rPr>
        <w:t>度</w:t>
      </w:r>
      <w:r>
        <w:rPr>
          <w:rFonts w:eastAsiaTheme="minorEastAsia" w:hAnsiTheme="minorHAnsi" w:cstheme="minorBidi"/>
          <w:color w:val="000000"/>
          <w:spacing w:val="2"/>
          <w:sz w:val="21"/>
          <w:szCs w:val="22"/>
          <w:lang w:val="en-US" w:eastAsia="en-US" w:bidi="ar-SA"/>
        </w:rPr>
        <w:t xml:space="preserve"> </w:t>
      </w:r>
      <w:r>
        <w:rPr>
          <w:rFonts w:eastAsiaTheme="minorEastAsia" w:hAnsiTheme="minorHAnsi" w:cstheme="minorBidi"/>
          <w:color w:val="000000"/>
          <w:spacing w:val="1"/>
          <w:sz w:val="21"/>
          <w:szCs w:val="22"/>
          <w:lang w:val="en-US" w:eastAsia="en-US" w:bidi="ar-SA"/>
        </w:rPr>
        <w:t>56</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分</w:t>
      </w:r>
      <w:r>
        <w:rPr>
          <w:rFonts w:eastAsiaTheme="minorEastAsia" w:hAnsiTheme="minorHAnsi" w:cstheme="minorBidi"/>
          <w:color w:val="000000"/>
          <w:spacing w:val="1"/>
          <w:sz w:val="21"/>
          <w:szCs w:val="22"/>
          <w:lang w:val="en-US" w:eastAsia="en-US" w:bidi="ar-SA"/>
        </w:rPr>
        <w:t xml:space="preserve"> </w:t>
      </w:r>
      <w:r>
        <w:rPr>
          <w:rFonts w:eastAsiaTheme="minorEastAsia" w:hAnsiTheme="minorHAnsi" w:cstheme="minorBidi"/>
          <w:color w:val="000000"/>
          <w:sz w:val="21"/>
          <w:szCs w:val="22"/>
          <w:lang w:val="en-US" w:eastAsia="en-US" w:bidi="ar-SA"/>
        </w:rPr>
        <w:t>55.43</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z w:val="21"/>
          <w:szCs w:val="22"/>
          <w:lang w:val="en-US" w:eastAsia="en-US" w:bidi="ar-SA"/>
        </w:rPr>
        <w:t>秒、纬度</w:t>
      </w:r>
      <w:r>
        <w:rPr>
          <w:rFonts w:eastAsiaTheme="minorEastAsia" w:hAnsiTheme="minorHAnsi" w:cstheme="minorBidi"/>
          <w:color w:val="000000"/>
          <w:spacing w:val="2"/>
          <w:sz w:val="21"/>
          <w:szCs w:val="22"/>
          <w:lang w:val="en-US" w:eastAsia="en-US" w:bidi="ar-SA"/>
        </w:rPr>
        <w:t xml:space="preserve"> </w:t>
      </w:r>
      <w:r>
        <w:rPr>
          <w:rFonts w:eastAsiaTheme="minorEastAsia" w:hAnsiTheme="minorHAnsi" w:cstheme="minorBidi"/>
          <w:color w:val="000000"/>
          <w:spacing w:val="-2"/>
          <w:sz w:val="21"/>
          <w:szCs w:val="22"/>
          <w:lang w:val="en-US" w:eastAsia="en-US" w:bidi="ar-SA"/>
        </w:rPr>
        <w:t>40</w:t>
      </w:r>
      <w:r>
        <w:rPr>
          <w:rFonts w:eastAsiaTheme="minorEastAsia" w:hAnsiTheme="minorHAnsi" w:cstheme="minorBidi"/>
          <w:color w:val="000000"/>
          <w:spacing w:val="56"/>
          <w:sz w:val="21"/>
          <w:szCs w:val="22"/>
          <w:lang w:val="en-US" w:eastAsia="en-US" w:bidi="ar-SA"/>
        </w:rPr>
        <w:t xml:space="preserve"> </w:t>
      </w:r>
      <w:r>
        <w:rPr>
          <w:rFonts w:ascii="SimSun" w:hAnsi="SimSun" w:eastAsiaTheme="minorEastAsia" w:cs="SimSun"/>
          <w:color w:val="000000"/>
          <w:sz w:val="21"/>
          <w:szCs w:val="22"/>
          <w:lang w:val="en-US" w:eastAsia="en-US" w:bidi="ar-SA"/>
        </w:rPr>
        <w:t>度</w:t>
      </w:r>
      <w:r>
        <w:rPr>
          <w:rFonts w:eastAsiaTheme="minorEastAsia" w:hAnsiTheme="minorHAnsi" w:cstheme="minorBidi"/>
          <w:color w:val="000000"/>
          <w:spacing w:val="-1"/>
          <w:sz w:val="21"/>
          <w:szCs w:val="22"/>
          <w:lang w:val="en-US" w:eastAsia="en-US" w:bidi="ar-SA"/>
        </w:rPr>
        <w:t xml:space="preserve"> </w:t>
      </w:r>
      <w:r>
        <w:rPr>
          <w:rFonts w:eastAsiaTheme="minorEastAsia" w:hAnsiTheme="minorHAnsi" w:cstheme="minorBidi"/>
          <w:color w:val="000000"/>
          <w:spacing w:val="-2"/>
          <w:sz w:val="21"/>
          <w:szCs w:val="22"/>
          <w:lang w:val="en-US" w:eastAsia="en-US" w:bidi="ar-SA"/>
        </w:rPr>
        <w:t>44</w:t>
      </w:r>
      <w:r>
        <w:rPr>
          <w:rFonts w:eastAsiaTheme="minorEastAsia" w:hAnsiTheme="minorHAnsi" w:cstheme="minorBidi"/>
          <w:color w:val="000000"/>
          <w:spacing w:val="55"/>
          <w:sz w:val="21"/>
          <w:szCs w:val="22"/>
          <w:lang w:val="en-US" w:eastAsia="en-US" w:bidi="ar-SA"/>
        </w:rPr>
        <w:t xml:space="preserve"> </w:t>
      </w:r>
      <w:r>
        <w:rPr>
          <w:rFonts w:ascii="SimSun" w:hAnsi="SimSun" w:eastAsiaTheme="minorEastAsia" w:cs="SimSun"/>
          <w:color w:val="000000"/>
          <w:sz w:val="21"/>
          <w:szCs w:val="22"/>
          <w:lang w:val="en-US" w:eastAsia="en-US" w:bidi="ar-SA"/>
        </w:rPr>
        <w:t>分</w:t>
      </w:r>
      <w:r>
        <w:rPr>
          <w:rFonts w:eastAsiaTheme="minorEastAsia" w:hAnsiTheme="minorHAnsi" w:cstheme="minorBidi"/>
          <w:color w:val="000000"/>
          <w:spacing w:val="1"/>
          <w:sz w:val="21"/>
          <w:szCs w:val="22"/>
          <w:lang w:val="en-US" w:eastAsia="en-US" w:bidi="ar-SA"/>
        </w:rPr>
        <w:t xml:space="preserve"> </w:t>
      </w:r>
      <w:r>
        <w:rPr>
          <w:rFonts w:eastAsiaTheme="minorEastAsia" w:hAnsiTheme="minorHAnsi" w:cstheme="minorBidi"/>
          <w:color w:val="000000"/>
          <w:sz w:val="21"/>
          <w:szCs w:val="22"/>
          <w:lang w:val="en-US" w:eastAsia="en-US" w:bidi="ar-SA"/>
        </w:rPr>
        <w:t>47.69</w:t>
      </w:r>
      <w:r>
        <w:rPr>
          <w:rFonts w:eastAsiaTheme="minorEastAsia" w:hAnsiTheme="minorHAnsi" w:cstheme="minorBidi"/>
          <w:color w:val="000000"/>
          <w:spacing w:val="56"/>
          <w:sz w:val="21"/>
          <w:szCs w:val="22"/>
          <w:lang w:val="en-US" w:eastAsia="en-US" w:bidi="ar-SA"/>
        </w:rPr>
        <w:t xml:space="preserve"> </w:t>
      </w:r>
      <w:r>
        <w:rPr>
          <w:rFonts w:ascii="SimSun" w:hAnsi="SimSun" w:eastAsiaTheme="minorEastAsia" w:cs="SimSun"/>
          <w:color w:val="000000"/>
          <w:spacing w:val="4"/>
          <w:sz w:val="21"/>
          <w:szCs w:val="22"/>
          <w:lang w:val="en-US" w:eastAsia="en-US" w:bidi="ar-SA"/>
        </w:rPr>
        <w:t>秒。</w:t>
      </w:r>
    </w:p>
    <w:p>
      <w:pPr>
        <w:framePr w:w="8759" w:x="2218" w:y="1529"/>
        <w:widowControl w:val="0"/>
        <w:autoSpaceDE w:val="0"/>
        <w:autoSpaceDN w:val="0"/>
        <w:spacing w:before="30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主要废水污染物排放总量：</w:t>
      </w:r>
      <w:r>
        <w:rPr>
          <w:rFonts w:ascii="SimSun" w:eastAsiaTheme="minorEastAsia" w:hAnsiTheme="minorHAnsi" w:cstheme="minorBidi"/>
          <w:color w:val="000000"/>
          <w:spacing w:val="1"/>
          <w:sz w:val="21"/>
          <w:szCs w:val="22"/>
          <w:lang w:val="en-US" w:eastAsia="en-US" w:bidi="ar-SA"/>
        </w:rPr>
        <w:t>COD</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50.59t/a</w:t>
      </w:r>
      <w:r>
        <w:rPr>
          <w:rFonts w:ascii="SimSun" w:hAnsi="SimSun" w:eastAsiaTheme="minorEastAsia" w:cs="SimSun"/>
          <w:color w:val="000000"/>
          <w:sz w:val="21"/>
          <w:szCs w:val="22"/>
          <w:lang w:val="en-US" w:eastAsia="en-US" w:bidi="ar-SA"/>
        </w:rPr>
        <w:t>、氨氮</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3.45t/a</w:t>
      </w:r>
      <w:r>
        <w:rPr>
          <w:rFonts w:ascii="SimSun" w:hAnsi="SimSun" w:eastAsiaTheme="minorEastAsia" w:cs="SimSun"/>
          <w:color w:val="000000"/>
          <w:sz w:val="21"/>
          <w:szCs w:val="22"/>
          <w:lang w:val="en-US" w:eastAsia="en-US" w:bidi="ar-SA"/>
        </w:rPr>
        <w:t>、总氮</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5.75t/a</w:t>
      </w:r>
      <w:r>
        <w:rPr>
          <w:rFonts w:ascii="SimSun" w:hAnsi="SimSun" w:eastAsiaTheme="minorEastAsia" w:cs="SimSun"/>
          <w:color w:val="000000"/>
          <w:sz w:val="21"/>
          <w:szCs w:val="22"/>
          <w:lang w:val="en-US" w:eastAsia="en-US" w:bidi="ar-SA"/>
        </w:rPr>
        <w:t>；</w:t>
      </w:r>
    </w:p>
    <w:p>
      <w:pPr>
        <w:framePr w:w="8759" w:x="2218" w:y="152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主要废水污染物排放浓度：</w:t>
      </w:r>
      <w:r>
        <w:rPr>
          <w:rFonts w:ascii="SimSun" w:eastAsiaTheme="minorEastAsia" w:hAnsiTheme="minorHAnsi" w:cstheme="minorBidi"/>
          <w:color w:val="000000"/>
          <w:sz w:val="21"/>
          <w:szCs w:val="22"/>
          <w:lang w:val="en-US" w:eastAsia="en-US" w:bidi="ar-SA"/>
        </w:rPr>
        <w:t>COD440mg/L</w:t>
      </w:r>
      <w:r>
        <w:rPr>
          <w:rFonts w:ascii="SimSun" w:hAnsi="SimSun" w:eastAsiaTheme="minorEastAsia" w:cs="SimSun"/>
          <w:color w:val="000000"/>
          <w:spacing w:val="-1"/>
          <w:sz w:val="21"/>
          <w:szCs w:val="22"/>
          <w:lang w:val="en-US" w:eastAsia="en-US" w:bidi="ar-SA"/>
        </w:rPr>
        <w:t>、氨氮</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30</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、总氮</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50mg/L</w:t>
      </w:r>
      <w:r>
        <w:rPr>
          <w:rFonts w:ascii="SimSun" w:hAnsi="SimSun" w:eastAsiaTheme="minorEastAsia" w:cs="SimSun"/>
          <w:color w:val="000000"/>
          <w:sz w:val="21"/>
          <w:szCs w:val="22"/>
          <w:lang w:val="en-US" w:eastAsia="en-US" w:bidi="ar-SA"/>
        </w:rPr>
        <w:t>；</w:t>
      </w:r>
    </w:p>
    <w:p>
      <w:pPr>
        <w:framePr w:w="9076" w:x="1798" w:y="312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年度废水污染物排放总量：</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pacing w:val="-1"/>
          <w:sz w:val="21"/>
          <w:szCs w:val="22"/>
          <w:lang w:val="en-US" w:eastAsia="en-US" w:bidi="ar-SA"/>
        </w:rPr>
        <w:t>总量</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0.0883</w:t>
      </w:r>
      <w:r>
        <w:rPr>
          <w:rFonts w:ascii="SimSun" w:hAnsi="SimSun" w:eastAsiaTheme="minorEastAsia" w:cs="SimSun"/>
          <w:color w:val="000000"/>
          <w:spacing w:val="-1"/>
          <w:sz w:val="21"/>
          <w:szCs w:val="22"/>
          <w:lang w:val="en-US" w:eastAsia="en-US" w:bidi="ar-SA"/>
        </w:rPr>
        <w:t>吨、</w:t>
      </w:r>
      <w:r>
        <w:rPr>
          <w:rFonts w:eastAsiaTheme="minorEastAsia" w:hAnsiTheme="minorHAnsi" w:cstheme="minorBidi"/>
          <w:color w:val="000000"/>
          <w:spacing w:val="4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COD56.3mg/L</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3"/>
          <w:sz w:val="21"/>
          <w:szCs w:val="22"/>
          <w:lang w:val="en-US" w:eastAsia="en-US" w:bidi="ar-SA"/>
        </w:rPr>
        <w:t>；氨氮总量</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0.007t</w:t>
      </w:r>
      <w:r>
        <w:rPr>
          <w:rFonts w:ascii="SimSun" w:hAnsi="SimSun" w:eastAsiaTheme="minorEastAsia" w:cs="SimSun"/>
          <w:color w:val="000000"/>
          <w:spacing w:val="-8"/>
          <w:sz w:val="21"/>
          <w:szCs w:val="22"/>
          <w:lang w:val="en-US" w:eastAsia="en-US" w:bidi="ar-SA"/>
        </w:rPr>
        <w:t>、氨</w:t>
      </w:r>
    </w:p>
    <w:p>
      <w:pPr>
        <w:framePr w:w="9076" w:x="1798" w:y="312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氮</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4.49mg/L</w:t>
      </w:r>
      <w:r>
        <w:rPr>
          <w:rFonts w:ascii="SimSun" w:hAnsi="SimSun" w:eastAsiaTheme="minorEastAsia" w:cs="SimSun"/>
          <w:color w:val="000000"/>
          <w:sz w:val="21"/>
          <w:szCs w:val="22"/>
          <w:lang w:val="en-US" w:eastAsia="en-US" w:bidi="ar-SA"/>
        </w:rPr>
        <w:t>。上述废水排放未超过排污许可证的总量。</w:t>
      </w:r>
    </w:p>
    <w:p>
      <w:pPr>
        <w:framePr w:w="3091" w:x="2218" w:y="40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）辽宁先达废气的排放信息</w:t>
      </w:r>
    </w:p>
    <w:p>
      <w:pPr>
        <w:framePr w:w="8854" w:x="2218" w:y="4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废气主要污染物种类：颗粒物、</w:t>
      </w:r>
      <w:r>
        <w:rPr>
          <w:rFonts w:ascii="SimSun" w:eastAsiaTheme="minorEastAsia" w:hAnsiTheme="minorHAnsi" w:cstheme="minorBidi"/>
          <w:color w:val="000000"/>
          <w:sz w:val="21"/>
          <w:szCs w:val="22"/>
          <w:lang w:val="en-US" w:eastAsia="en-US" w:bidi="ar-SA"/>
        </w:rPr>
        <w:t>SO</w:t>
      </w:r>
      <w:r>
        <w:rPr>
          <w:rFonts w:ascii="SimSun" w:hAnsi="SimSun" w:eastAsiaTheme="minorEastAsia" w:cs="SimSun"/>
          <w:color w:val="000000"/>
          <w:spacing w:val="-20"/>
          <w:sz w:val="21"/>
          <w:szCs w:val="22"/>
          <w:lang w:val="en-US" w:eastAsia="en-US" w:bidi="ar-SA"/>
        </w:rPr>
        <w:t>、</w:t>
      </w:r>
      <w:r>
        <w:rPr>
          <w:rFonts w:ascii="SimSun" w:eastAsiaTheme="minorEastAsia" w:hAnsiTheme="minorHAnsi" w:cstheme="minorBidi"/>
          <w:color w:val="000000"/>
          <w:spacing w:val="1"/>
          <w:sz w:val="21"/>
          <w:szCs w:val="22"/>
          <w:lang w:val="en-US" w:eastAsia="en-US" w:bidi="ar-SA"/>
        </w:rPr>
        <w:t>NOx</w:t>
      </w:r>
      <w:r>
        <w:rPr>
          <w:rFonts w:ascii="SimSun" w:hAnsi="SimSun" w:eastAsiaTheme="minorEastAsia" w:cs="SimSun"/>
          <w:color w:val="000000"/>
          <w:spacing w:val="-20"/>
          <w:sz w:val="21"/>
          <w:szCs w:val="22"/>
          <w:lang w:val="en-US" w:eastAsia="en-US" w:bidi="ar-SA"/>
        </w:rPr>
        <w:t>、</w:t>
      </w:r>
      <w:r>
        <w:rPr>
          <w:rFonts w:ascii="SimSun" w:eastAsiaTheme="minorEastAsia" w:hAnsiTheme="minorHAnsi" w:cstheme="minorBidi"/>
          <w:color w:val="000000"/>
          <w:sz w:val="21"/>
          <w:szCs w:val="22"/>
          <w:lang w:val="en-US" w:eastAsia="en-US" w:bidi="ar-SA"/>
        </w:rPr>
        <w:t>VOCs</w:t>
      </w:r>
      <w:r>
        <w:rPr>
          <w:rFonts w:ascii="SimSun" w:hAnsi="SimSun" w:eastAsiaTheme="minorEastAsia" w:cs="SimSun"/>
          <w:color w:val="000000"/>
          <w:spacing w:val="-4"/>
          <w:sz w:val="21"/>
          <w:szCs w:val="22"/>
          <w:lang w:val="en-US" w:eastAsia="en-US" w:bidi="ar-SA"/>
        </w:rPr>
        <w:t>、其他特征污染物（三甲胺、二甲苯、甲苯、</w:t>
      </w:r>
    </w:p>
    <w:p>
      <w:pPr>
        <w:framePr w:w="8854" w:x="2218" w:y="4469"/>
        <w:widowControl w:val="0"/>
        <w:autoSpaceDE w:val="0"/>
        <w:autoSpaceDN w:val="0"/>
        <w:spacing w:line="120" w:lineRule="exact"/>
        <w:ind w:left="3116"/>
        <w:rPr>
          <w:rFonts w:ascii="SimSun" w:eastAsiaTheme="minorEastAsia" w:hAnsiTheme="minorHAnsi" w:cstheme="minorBidi"/>
          <w:color w:val="000000"/>
          <w:sz w:val="12"/>
          <w:szCs w:val="22"/>
          <w:lang w:val="en-US" w:eastAsia="en-US" w:bidi="ar-SA"/>
        </w:rPr>
      </w:pPr>
      <w:r>
        <w:rPr>
          <w:rFonts w:ascii="SimSun" w:eastAsiaTheme="minorEastAsia" w:hAnsiTheme="minorHAnsi" w:cstheme="minorBidi"/>
          <w:color w:val="000000"/>
          <w:sz w:val="12"/>
          <w:szCs w:val="22"/>
          <w:lang w:val="en-US" w:eastAsia="en-US" w:bidi="ar-SA"/>
        </w:rPr>
        <w:t>2</w:t>
      </w:r>
    </w:p>
    <w:p>
      <w:pPr>
        <w:framePr w:w="8899" w:x="1798" w:y="48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氯化氢、甲醛、甲醇、氯苯、酚类、苯胺类、氨（氨气）、臭气浓度、一氧化碳、二噁英类。</w:t>
      </w:r>
    </w:p>
    <w:p>
      <w:pPr>
        <w:framePr w:w="9110" w:x="1798" w:y="540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大气污染物排放形式：有组织、无组织；废水污染物排放规律：间断排放，排放期间流量稳</w:t>
      </w:r>
    </w:p>
    <w:p>
      <w:pPr>
        <w:framePr w:w="9110" w:x="1798" w:y="540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定。大气污染物排放执行标准名称：大气污染物综合排放标准</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GB16297-1996</w:t>
      </w:r>
      <w:r>
        <w:rPr>
          <w:rFonts w:ascii="SimSun" w:hAnsi="SimSun" w:eastAsiaTheme="minorEastAsia" w:cs="SimSun"/>
          <w:color w:val="000000"/>
          <w:spacing w:val="-1"/>
          <w:sz w:val="21"/>
          <w:szCs w:val="22"/>
          <w:lang w:val="en-US" w:eastAsia="en-US" w:bidi="ar-SA"/>
        </w:rPr>
        <w:t>、恶臭污染物排放标</w:t>
      </w:r>
    </w:p>
    <w:p>
      <w:pPr>
        <w:framePr w:w="9110" w:x="1798" w:y="540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准</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GB14554-93</w:t>
      </w:r>
      <w:r>
        <w:rPr>
          <w:rFonts w:ascii="SimSun" w:hAnsi="SimSun" w:eastAsiaTheme="minorEastAsia" w:cs="SimSun"/>
          <w:color w:val="000000"/>
          <w:sz w:val="21"/>
          <w:szCs w:val="22"/>
          <w:lang w:val="en-US" w:eastAsia="en-US" w:bidi="ar-SA"/>
        </w:rPr>
        <w:t>。</w:t>
      </w:r>
    </w:p>
    <w:p>
      <w:pPr>
        <w:framePr w:w="6860" w:x="2218" w:y="6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根据排污许可大气排放口共</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个，主要排放口</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个，一般排放口</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pacing w:val="1"/>
          <w:sz w:val="21"/>
          <w:szCs w:val="22"/>
          <w:lang w:val="en-US" w:eastAsia="en-US" w:bidi="ar-SA"/>
        </w:rPr>
        <w:t>个。</w:t>
      </w:r>
    </w:p>
    <w:p>
      <w:pPr>
        <w:framePr w:w="8908" w:x="1798" w:y="7279"/>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排污许可证气体污染物排放总量：颗粒物</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9.71t/a</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SO2</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131.44t/a</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NOx</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70.74t/a</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VOCs</w:t>
      </w:r>
    </w:p>
    <w:p>
      <w:pPr>
        <w:framePr w:w="8908" w:x="1798" w:y="72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54.765t/a</w:t>
      </w:r>
      <w:r>
        <w:rPr>
          <w:rFonts w:ascii="SimSun" w:hAnsi="SimSun" w:eastAsiaTheme="minorEastAsia" w:cs="SimSun"/>
          <w:color w:val="000000"/>
          <w:sz w:val="21"/>
          <w:szCs w:val="22"/>
          <w:lang w:val="en-US" w:eastAsia="en-US" w:bidi="ar-SA"/>
        </w:rPr>
        <w:t>；</w:t>
      </w:r>
    </w:p>
    <w:p>
      <w:pPr>
        <w:framePr w:w="9078" w:x="1798" w:y="821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气体污染物标准排放浓度：颗粒物</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120mg/Nm3</w:t>
      </w:r>
      <w:r>
        <w:rPr>
          <w:rFonts w:ascii="SimSun" w:hAnsi="SimSun" w:eastAsiaTheme="minorEastAsia" w:cs="SimSun"/>
          <w:color w:val="000000"/>
          <w:spacing w:val="-32"/>
          <w:sz w:val="21"/>
          <w:szCs w:val="22"/>
          <w:lang w:val="en-US" w:eastAsia="en-US" w:bidi="ar-SA"/>
        </w:rPr>
        <w:t>、</w:t>
      </w:r>
      <w:r>
        <w:rPr>
          <w:rFonts w:ascii="SimSun" w:eastAsiaTheme="minorEastAsia" w:hAnsiTheme="minorHAnsi" w:cstheme="minorBidi"/>
          <w:color w:val="000000"/>
          <w:sz w:val="21"/>
          <w:szCs w:val="22"/>
          <w:lang w:val="en-US" w:eastAsia="en-US" w:bidi="ar-SA"/>
        </w:rPr>
        <w:t>SO2</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300mg/Nm3</w:t>
      </w:r>
      <w:r>
        <w:rPr>
          <w:rFonts w:ascii="SimSun" w:hAnsi="SimSun" w:eastAsiaTheme="minorEastAsia" w:cs="SimSun"/>
          <w:color w:val="000000"/>
          <w:spacing w:val="-5"/>
          <w:sz w:val="21"/>
          <w:szCs w:val="22"/>
          <w:lang w:val="en-US" w:eastAsia="en-US" w:bidi="ar-SA"/>
        </w:rPr>
        <w:t>（焚烧炉）、</w:t>
      </w:r>
      <w:r>
        <w:rPr>
          <w:rFonts w:ascii="SimSun" w:eastAsiaTheme="minorEastAsia" w:hAnsiTheme="minorHAnsi" w:cstheme="minorBidi"/>
          <w:color w:val="000000"/>
          <w:sz w:val="21"/>
          <w:szCs w:val="22"/>
          <w:lang w:val="en-US" w:eastAsia="en-US" w:bidi="ar-SA"/>
        </w:rPr>
        <w:t>550mg/Nm3</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RTO</w:t>
      </w:r>
      <w:r>
        <w:rPr>
          <w:rFonts w:ascii="SimSun" w:hAnsi="SimSun" w:eastAsiaTheme="minorEastAsia" w:cs="SimSun"/>
          <w:color w:val="000000"/>
          <w:sz w:val="21"/>
          <w:szCs w:val="22"/>
          <w:lang w:val="en-US" w:eastAsia="en-US" w:bidi="ar-SA"/>
        </w:rPr>
        <w:t>）</w:t>
      </w:r>
    </w:p>
    <w:p>
      <w:pPr>
        <w:framePr w:w="9078" w:x="1798" w:y="821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NOx</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500mg/Nm3</w:t>
      </w:r>
      <w:r>
        <w:rPr>
          <w:rFonts w:ascii="SimSun" w:hAnsi="SimSun" w:eastAsiaTheme="minorEastAsia" w:cs="SimSun"/>
          <w:color w:val="000000"/>
          <w:sz w:val="21"/>
          <w:szCs w:val="22"/>
          <w:lang w:val="en-US" w:eastAsia="en-US" w:bidi="ar-SA"/>
        </w:rPr>
        <w:t>（焚烧炉）、</w:t>
      </w:r>
      <w:r>
        <w:rPr>
          <w:rFonts w:ascii="SimSun" w:eastAsiaTheme="minorEastAsia" w:hAnsiTheme="minorHAnsi" w:cstheme="minorBidi"/>
          <w:color w:val="000000"/>
          <w:sz w:val="21"/>
          <w:szCs w:val="22"/>
          <w:lang w:val="en-US" w:eastAsia="en-US" w:bidi="ar-SA"/>
        </w:rPr>
        <w:t>240mg/Nm3</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RTO</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VOCs</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120mg/Nm3</w:t>
      </w:r>
      <w:r>
        <w:rPr>
          <w:rFonts w:ascii="SimSun" w:hAnsi="SimSun" w:eastAsiaTheme="minorEastAsia" w:cs="SimSun"/>
          <w:color w:val="000000"/>
          <w:sz w:val="21"/>
          <w:szCs w:val="22"/>
          <w:lang w:val="en-US" w:eastAsia="en-US" w:bidi="ar-SA"/>
        </w:rPr>
        <w:t>；</w:t>
      </w:r>
    </w:p>
    <w:p>
      <w:pPr>
        <w:framePr w:w="9078" w:x="1798" w:y="9154"/>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报告期内主要气体污染物排放总量及浓度：颗粒物总量</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0.033936</w:t>
      </w:r>
      <w:r>
        <w:rPr>
          <w:rFonts w:ascii="SimSun" w:hAnsi="SimSun" w:eastAsiaTheme="minorEastAsia" w:cs="SimSun"/>
          <w:color w:val="000000"/>
          <w:spacing w:val="-4"/>
          <w:sz w:val="21"/>
          <w:szCs w:val="22"/>
          <w:lang w:val="en-US" w:eastAsia="en-US" w:bidi="ar-SA"/>
        </w:rPr>
        <w:t>吨，浓度</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8.22mg/Nm3</w:t>
      </w:r>
      <w:r>
        <w:rPr>
          <w:rFonts w:ascii="SimSun" w:hAnsi="SimSun" w:eastAsiaTheme="minorEastAsia" w:cs="SimSun"/>
          <w:color w:val="000000"/>
          <w:spacing w:val="-11"/>
          <w:sz w:val="21"/>
          <w:szCs w:val="22"/>
          <w:lang w:val="en-US" w:eastAsia="en-US" w:bidi="ar-SA"/>
        </w:rPr>
        <w:t>；</w:t>
      </w:r>
      <w:r>
        <w:rPr>
          <w:rFonts w:ascii="SimSun" w:eastAsiaTheme="minorEastAsia" w:hAnsiTheme="minorHAnsi" w:cstheme="minorBidi"/>
          <w:color w:val="000000"/>
          <w:spacing w:val="-1"/>
          <w:sz w:val="21"/>
          <w:szCs w:val="22"/>
          <w:lang w:val="en-US" w:eastAsia="en-US" w:bidi="ar-SA"/>
        </w:rPr>
        <w:t>SO2</w:t>
      </w:r>
    </w:p>
    <w:p>
      <w:pPr>
        <w:framePr w:w="9078" w:x="1798" w:y="9154"/>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总量</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0.092112</w:t>
      </w:r>
      <w:r>
        <w:rPr>
          <w:rFonts w:ascii="SimSun" w:hAnsi="SimSun" w:eastAsiaTheme="minorEastAsia" w:cs="SimSun"/>
          <w:color w:val="000000"/>
          <w:spacing w:val="-6"/>
          <w:sz w:val="21"/>
          <w:szCs w:val="22"/>
          <w:lang w:val="en-US" w:eastAsia="en-US" w:bidi="ar-SA"/>
        </w:rPr>
        <w:t>吨，浓度</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7.03mg/Nm3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25"/>
          <w:sz w:val="21"/>
          <w:szCs w:val="22"/>
          <w:lang w:val="en-US" w:eastAsia="en-US" w:bidi="ar-SA"/>
        </w:rPr>
        <w:t>；</w:t>
      </w:r>
      <w:r>
        <w:rPr>
          <w:rFonts w:ascii="SimSun" w:eastAsiaTheme="minorEastAsia" w:hAnsiTheme="minorHAnsi" w:cstheme="minorBidi"/>
          <w:color w:val="000000"/>
          <w:sz w:val="21"/>
          <w:szCs w:val="22"/>
          <w:lang w:val="en-US" w:eastAsia="en-US" w:bidi="ar-SA"/>
        </w:rPr>
        <w:t>NOx</w:t>
      </w:r>
      <w:r>
        <w:rPr>
          <w:rFonts w:ascii="SimSun" w:hAnsi="SimSun" w:eastAsiaTheme="minorEastAsia" w:cs="SimSun"/>
          <w:color w:val="000000"/>
          <w:spacing w:val="1"/>
          <w:sz w:val="21"/>
          <w:szCs w:val="22"/>
          <w:lang w:val="en-US" w:eastAsia="en-US" w:bidi="ar-SA"/>
        </w:rPr>
        <w:t>总量</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0.041208</w:t>
      </w:r>
      <w:r>
        <w:rPr>
          <w:rFonts w:ascii="SimSun" w:hAnsi="SimSun" w:eastAsiaTheme="minorEastAsia" w:cs="SimSun"/>
          <w:color w:val="000000"/>
          <w:spacing w:val="-3"/>
          <w:sz w:val="21"/>
          <w:szCs w:val="22"/>
          <w:lang w:val="en-US" w:eastAsia="en-US" w:bidi="ar-SA"/>
        </w:rPr>
        <w:t>吨，浓度低于检测下限</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mg/Nm3</w:t>
      </w:r>
      <w:r>
        <w:rPr>
          <w:rFonts w:ascii="SimSun" w:hAnsi="SimSun" w:eastAsiaTheme="minorEastAsia" w:cs="SimSun"/>
          <w:color w:val="000000"/>
          <w:spacing w:val="-23"/>
          <w:sz w:val="21"/>
          <w:szCs w:val="22"/>
          <w:lang w:val="en-US" w:eastAsia="en-US" w:bidi="ar-SA"/>
        </w:rPr>
        <w:t>；</w:t>
      </w:r>
      <w:r>
        <w:rPr>
          <w:rFonts w:ascii="SimSun" w:eastAsiaTheme="minorEastAsia" w:hAnsiTheme="minorHAnsi" w:cstheme="minorBidi"/>
          <w:color w:val="000000"/>
          <w:spacing w:val="-1"/>
          <w:sz w:val="21"/>
          <w:szCs w:val="22"/>
          <w:lang w:val="en-US" w:eastAsia="en-US" w:bidi="ar-SA"/>
        </w:rPr>
        <w:t>VOCs</w:t>
      </w:r>
    </w:p>
    <w:p>
      <w:pPr>
        <w:framePr w:w="9078" w:x="1798" w:y="91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总量</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5.27184</w:t>
      </w:r>
      <w:r>
        <w:rPr>
          <w:rFonts w:ascii="SimSun" w:hAnsi="SimSun" w:eastAsiaTheme="minorEastAsia" w:cs="SimSun"/>
          <w:color w:val="000000"/>
          <w:sz w:val="21"/>
          <w:szCs w:val="22"/>
          <w:lang w:val="en-US" w:eastAsia="en-US" w:bidi="ar-SA"/>
        </w:rPr>
        <w:t>吨，浓度</w:t>
      </w:r>
      <w:r>
        <w:rPr>
          <w:rFonts w:eastAsiaTheme="minorEastAsia" w:hAnsiTheme="minorHAnsi" w:cstheme="minorBidi"/>
          <w:color w:val="000000"/>
          <w:spacing w:val="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59.47mg/Nm3</w:t>
      </w:r>
      <w:r>
        <w:rPr>
          <w:rFonts w:ascii="SimSun" w:hAnsi="SimSun" w:eastAsiaTheme="minorEastAsia" w:cs="SimSun"/>
          <w:color w:val="000000"/>
          <w:sz w:val="21"/>
          <w:szCs w:val="22"/>
          <w:lang w:val="en-US" w:eastAsia="en-US" w:bidi="ar-SA"/>
        </w:rPr>
        <w:t>。上述废气排放未超过排污许可证的总量。</w:t>
      </w:r>
    </w:p>
    <w:p>
      <w:pPr>
        <w:framePr w:w="3552" w:x="1798" w:y="104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r>
        <w:rPr>
          <w:rFonts w:ascii="SimSun" w:hAnsi="SimSun" w:eastAsiaTheme="minorEastAsia" w:cs="SimSun"/>
          <w:color w:val="000000"/>
          <w:spacing w:val="1"/>
          <w:sz w:val="21"/>
          <w:szCs w:val="22"/>
          <w:lang w:val="en-US" w:eastAsia="en-US" w:bidi="ar-SA"/>
        </w:rPr>
        <w:t>防治污染设施的建设和运行情况</w:t>
      </w:r>
    </w:p>
    <w:p>
      <w:pPr>
        <w:framePr w:w="1817" w:x="1798" w:y="108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12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w:t>
      </w:r>
      <w:r>
        <w:rPr>
          <w:rFonts w:ascii="SimSun" w:hAnsi="SimSun" w:eastAsiaTheme="minorEastAsia" w:cs="SimSun"/>
          <w:color w:val="000000"/>
          <w:spacing w:val="-1"/>
          <w:sz w:val="21"/>
          <w:szCs w:val="22"/>
          <w:lang w:val="en-US" w:eastAsia="en-US" w:bidi="ar-SA"/>
        </w:rPr>
        <w:t>公司环保设施主要有：①针对废气处理的设施：吸收塔、活性炭</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碳纤维吸附床、活性炭</w:t>
      </w:r>
    </w:p>
    <w:p>
      <w:pPr>
        <w:framePr w:w="9110" w:x="1798" w:y="1122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吸附床、冷冻机、碳纤维、布袋除尘、</w:t>
      </w:r>
      <w:r>
        <w:rPr>
          <w:rFonts w:ascii="SimSun" w:eastAsiaTheme="minorEastAsia" w:hAnsiTheme="minorHAnsi" w:cstheme="minorBidi"/>
          <w:color w:val="000000"/>
          <w:sz w:val="21"/>
          <w:szCs w:val="22"/>
          <w:lang w:val="en-US" w:eastAsia="en-US" w:bidi="ar-SA"/>
        </w:rPr>
        <w:t>RTO</w:t>
      </w:r>
      <w:r>
        <w:rPr>
          <w:rFonts w:ascii="SimSun" w:hAnsi="SimSun" w:eastAsiaTheme="minorEastAsia" w:cs="SimSun"/>
          <w:color w:val="000000"/>
          <w:sz w:val="21"/>
          <w:szCs w:val="22"/>
          <w:lang w:val="en-US" w:eastAsia="en-US" w:bidi="ar-SA"/>
        </w:rPr>
        <w:t>蓄热氧化炉等；②针对废水处理的设施：精馏塔、三</w:t>
      </w:r>
    </w:p>
    <w:p>
      <w:pPr>
        <w:framePr w:w="9110" w:x="1798" w:y="112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效蒸发、</w:t>
      </w:r>
      <w:r>
        <w:rPr>
          <w:rFonts w:ascii="SimSun" w:eastAsiaTheme="minorEastAsia" w:hAnsiTheme="minorHAnsi" w:cstheme="minorBidi"/>
          <w:color w:val="000000"/>
          <w:sz w:val="21"/>
          <w:szCs w:val="22"/>
          <w:lang w:val="en-US" w:eastAsia="en-US" w:bidi="ar-SA"/>
        </w:rPr>
        <w:t>MVR</w:t>
      </w:r>
      <w:r>
        <w:rPr>
          <w:rFonts w:ascii="SimSun" w:hAnsi="SimSun" w:eastAsiaTheme="minorEastAsia" w:cs="SimSun"/>
          <w:color w:val="000000"/>
          <w:sz w:val="21"/>
          <w:szCs w:val="22"/>
          <w:lang w:val="en-US" w:eastAsia="en-US" w:bidi="ar-SA"/>
        </w:rPr>
        <w:t>、厌氧</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好氧等；③针对废渣处理：委托有资质的第三方机构予以处理。报告期内，</w:t>
      </w:r>
    </w:p>
    <w:p>
      <w:pPr>
        <w:framePr w:w="9110" w:x="1798" w:y="112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各项环保设施运行正常。</w:t>
      </w:r>
    </w:p>
    <w:p>
      <w:pPr>
        <w:framePr w:w="9110" w:x="1798" w:y="129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潍坊先达环保设施主要有：①针对废气处理的设施：水吸收塔、液碱吸收塔、活性炭吸</w:t>
      </w:r>
    </w:p>
    <w:p>
      <w:pPr>
        <w:framePr w:w="9110" w:x="1798" w:y="129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附器、冷凝器、低温等离子、急冷塔、洗涤塔、布袋除尘、</w:t>
      </w:r>
      <w:r>
        <w:rPr>
          <w:rFonts w:ascii="SimSun" w:eastAsiaTheme="minorEastAsia" w:hAnsiTheme="minorHAnsi" w:cstheme="minorBidi"/>
          <w:color w:val="000000"/>
          <w:sz w:val="21"/>
          <w:szCs w:val="22"/>
          <w:lang w:val="en-US" w:eastAsia="en-US" w:bidi="ar-SA"/>
        </w:rPr>
        <w:t>RTO</w:t>
      </w:r>
      <w:r>
        <w:rPr>
          <w:rFonts w:ascii="SimSun" w:hAnsi="SimSun" w:eastAsiaTheme="minorEastAsia" w:cs="SimSun"/>
          <w:color w:val="000000"/>
          <w:sz w:val="21"/>
          <w:szCs w:val="22"/>
          <w:lang w:val="en-US" w:eastAsia="en-US" w:bidi="ar-SA"/>
        </w:rPr>
        <w:t>蓄热氧化炉等；②针对废水处理</w:t>
      </w:r>
    </w:p>
    <w:p>
      <w:pPr>
        <w:framePr w:w="9110" w:x="1798" w:y="129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的设施：精馏塔、三效蒸发、四效蒸发、</w:t>
      </w:r>
      <w:r>
        <w:rPr>
          <w:rFonts w:ascii="SimSun" w:eastAsiaTheme="minorEastAsia" w:hAnsiTheme="minorHAnsi" w:cstheme="minorBidi"/>
          <w:color w:val="000000"/>
          <w:spacing w:val="-1"/>
          <w:sz w:val="21"/>
          <w:szCs w:val="22"/>
          <w:lang w:val="en-US" w:eastAsia="en-US" w:bidi="ar-SA"/>
        </w:rPr>
        <w:t>MVR</w:t>
      </w:r>
      <w:r>
        <w:rPr>
          <w:rFonts w:ascii="SimSun" w:hAnsi="SimSun" w:eastAsiaTheme="minorEastAsia" w:cs="SimSun"/>
          <w:color w:val="000000"/>
          <w:spacing w:val="-2"/>
          <w:sz w:val="21"/>
          <w:szCs w:val="22"/>
          <w:lang w:val="en-US" w:eastAsia="en-US" w:bidi="ar-SA"/>
        </w:rPr>
        <w:t>、厌氧</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好氧、</w:t>
      </w:r>
      <w:r>
        <w:rPr>
          <w:rFonts w:ascii="SimSun" w:eastAsiaTheme="minorEastAsia" w:hAnsiTheme="minorHAnsi" w:cstheme="minorBidi"/>
          <w:color w:val="000000"/>
          <w:sz w:val="21"/>
          <w:szCs w:val="22"/>
          <w:lang w:val="en-US" w:eastAsia="en-US" w:bidi="ar-SA"/>
        </w:rPr>
        <w:t>IC+SBR</w:t>
      </w:r>
      <w:r>
        <w:rPr>
          <w:rFonts w:ascii="SimSun" w:hAnsi="SimSun" w:eastAsiaTheme="minorEastAsia" w:cs="SimSun"/>
          <w:color w:val="000000"/>
          <w:spacing w:val="-1"/>
          <w:sz w:val="21"/>
          <w:szCs w:val="22"/>
          <w:lang w:val="en-US" w:eastAsia="en-US" w:bidi="ar-SA"/>
        </w:rPr>
        <w:t>生化处理站等；③针对危废处</w:t>
      </w:r>
    </w:p>
    <w:p>
      <w:pPr>
        <w:framePr w:w="9110" w:x="1798" w:y="129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理的设施，危废全部委托有资质的第三方机构予以处理。④新增二氯甲烷吸附器于</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pacing w:val="-1"/>
          <w:sz w:val="21"/>
          <w:szCs w:val="22"/>
          <w:lang w:val="en-US" w:eastAsia="en-US" w:bidi="ar-SA"/>
        </w:rPr>
        <w:t>月建</w:t>
      </w:r>
    </w:p>
    <w:p>
      <w:pPr>
        <w:framePr w:w="9110" w:x="1798" w:y="129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设，预计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7</w:t>
      </w:r>
      <w:r>
        <w:rPr>
          <w:rFonts w:ascii="SimSun" w:hAnsi="SimSun" w:eastAsiaTheme="minorEastAsia" w:cs="SimSun"/>
          <w:color w:val="000000"/>
          <w:sz w:val="21"/>
          <w:szCs w:val="22"/>
          <w:lang w:val="en-US" w:eastAsia="en-US" w:bidi="ar-SA"/>
        </w:rPr>
        <w:t>月投入使用。报告期内，各项环保设施运行基本正常。</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25" type="#_x0000_t75" style="width:445.6pt;height:2.7pt;margin-top:53.5pt;margin-left:87.45pt;mso-position-horizontal-relative:page;mso-position-vertical-relative:page;position:absolute;z-index:-251180032">
            <v:imagedata r:id="rId88" o:title=""/>
          </v:shape>
        </w:pict>
      </w:r>
      <w:r>
        <w:rPr>
          <w:noProof/>
        </w:rPr>
        <w:pict>
          <v:shape id="_x0000_s1126" type="#_x0000_t75" style="width:17.75pt;height:15.7pt;margin-top:74.15pt;margin-left:309.6pt;mso-position-horizontal-relative:page;mso-position-vertical-relative:page;position:absolute;z-index:-251182080">
            <v:imagedata r:id="rId89" o:title=""/>
          </v:shape>
        </w:pict>
      </w:r>
      <w:r>
        <w:rPr>
          <w:noProof/>
        </w:rPr>
        <w:pict>
          <v:shape id="_x0000_s1127" type="#_x0000_t75" style="width:17.7pt;height:15.7pt;margin-top:74.15pt;margin-left:338.55pt;mso-position-horizontal-relative:page;mso-position-vertical-relative:page;position:absolute;z-index:-251187200">
            <v:imagedata r:id="rId90" o:title=""/>
          </v:shape>
        </w:pict>
      </w:r>
      <w:r>
        <w:rPr>
          <w:noProof/>
        </w:rPr>
        <w:pict>
          <v:shape id="_x0000_s1128" type="#_x0000_t75" style="width:15.1pt;height:15.7pt;margin-top:74.15pt;margin-left:380.55pt;mso-position-horizontal-relative:page;mso-position-vertical-relative:page;position:absolute;z-index:-251220992">
            <v:imagedata r:id="rId91" o:title=""/>
          </v:shape>
        </w:pict>
      </w:r>
      <w:r>
        <w:rPr>
          <w:noProof/>
        </w:rPr>
        <w:pict>
          <v:shape id="_x0000_s1129" type="#_x0000_t75" style="width:17.7pt;height:15.7pt;margin-top:74.15pt;margin-left:440.95pt;mso-position-horizontal-relative:page;mso-position-vertical-relative:page;position:absolute;z-index:-251303936">
            <v:imagedata r:id="rId89" o:title=""/>
          </v:shape>
        </w:pict>
      </w:r>
      <w:r>
        <w:rPr>
          <w:noProof/>
        </w:rPr>
        <w:pict>
          <v:shape id="_x0000_s1130" type="#_x0000_t75" style="width:17.85pt;height:15.7pt;margin-top:74.15pt;margin-left:469.75pt;mso-position-horizontal-relative:page;mso-position-vertical-relative:page;position:absolute;z-index:-251428864">
            <v:imagedata r:id="rId90" o:title=""/>
          </v:shape>
        </w:pict>
      </w:r>
      <w:r>
        <w:rPr>
          <w:noProof/>
        </w:rPr>
        <w:pict>
          <v:shape id="_x0000_s1131" type="#_x0000_t75" style="width:15.3pt;height:15.7pt;margin-top:74.15pt;margin-left:512pt;mso-position-horizontal-relative:page;mso-position-vertical-relative:page;position:absolute;z-index:-251615232">
            <v:imagedata r:id="rId92" o:title=""/>
          </v:shape>
        </w:pict>
      </w:r>
    </w:p>
    <w:p>
      <w:pPr>
        <w:spacing w:line="0" w:lineRule="atLeast"/>
        <w:rPr>
          <w:rFonts w:ascii="Arial" w:eastAsiaTheme="minorEastAsia" w:hAnsiTheme="minorHAnsi" w:cstheme="minorBidi"/>
          <w:color w:val="FF0000"/>
          <w:sz w:val="2"/>
          <w:szCs w:val="22"/>
          <w:lang w:val="en-US" w:eastAsia="en-US" w:bidi="ar-SA"/>
        </w:rPr>
      </w:pPr>
      <w:bookmarkStart w:id="43" w:name="br1_42"/>
      <w:bookmarkEnd w:id="43"/>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216"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w:t>
      </w:r>
      <w:r>
        <w:rPr>
          <w:rFonts w:ascii="SimSun" w:hAnsi="SimSun" w:eastAsiaTheme="minorEastAsia" w:cs="SimSun"/>
          <w:color w:val="000000"/>
          <w:sz w:val="21"/>
          <w:szCs w:val="22"/>
          <w:lang w:val="en-US" w:eastAsia="en-US" w:bidi="ar-SA"/>
        </w:rPr>
        <w:t>辽宁先达环保设施主要有：①针对废气处理的设施：水吸收塔、液碱吸收塔、活性炭吸</w:t>
      </w:r>
    </w:p>
    <w:p>
      <w:pPr>
        <w:framePr w:w="9216"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附器、冷凝器、急冷塔、布袋除尘、</w:t>
      </w:r>
      <w:r>
        <w:rPr>
          <w:rFonts w:ascii="SimSun" w:eastAsiaTheme="minorEastAsia" w:hAnsiTheme="minorHAnsi" w:cstheme="minorBidi"/>
          <w:color w:val="000000"/>
          <w:sz w:val="21"/>
          <w:szCs w:val="22"/>
          <w:lang w:val="en-US" w:eastAsia="en-US" w:bidi="ar-SA"/>
        </w:rPr>
        <w:t>RTO</w:t>
      </w:r>
      <w:r>
        <w:rPr>
          <w:rFonts w:ascii="SimSun" w:hAnsi="SimSun" w:eastAsiaTheme="minorEastAsia" w:cs="SimSun"/>
          <w:color w:val="000000"/>
          <w:sz w:val="21"/>
          <w:szCs w:val="22"/>
          <w:lang w:val="en-US" w:eastAsia="en-US" w:bidi="ar-SA"/>
        </w:rPr>
        <w:t>蓄热氧化炉等；②针对废水处理的设施：精馏塔、三效</w:t>
      </w:r>
    </w:p>
    <w:p>
      <w:pPr>
        <w:framePr w:w="9216"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蒸发、</w:t>
      </w:r>
      <w:r>
        <w:rPr>
          <w:rFonts w:ascii="SimSun" w:eastAsiaTheme="minorEastAsia" w:hAnsiTheme="minorHAnsi" w:cstheme="minorBidi"/>
          <w:color w:val="000000"/>
          <w:sz w:val="21"/>
          <w:szCs w:val="22"/>
          <w:lang w:val="en-US" w:eastAsia="en-US" w:bidi="ar-SA"/>
        </w:rPr>
        <w:t>MVR</w:t>
      </w:r>
      <w:r>
        <w:rPr>
          <w:rFonts w:ascii="SimSun" w:hAnsi="SimSun" w:eastAsiaTheme="minorEastAsia" w:cs="SimSun"/>
          <w:color w:val="000000"/>
          <w:spacing w:val="-6"/>
          <w:sz w:val="21"/>
          <w:szCs w:val="22"/>
          <w:lang w:val="en-US" w:eastAsia="en-US" w:bidi="ar-SA"/>
        </w:rPr>
        <w:t>、厌氧</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缺氧</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2"/>
          <w:sz w:val="21"/>
          <w:szCs w:val="22"/>
          <w:lang w:val="en-US" w:eastAsia="en-US" w:bidi="ar-SA"/>
        </w:rPr>
        <w:t>好氧生化处理站等；③针对危废处理的设施：固体废物焚烧炉，部分危废</w:t>
      </w:r>
    </w:p>
    <w:p>
      <w:pPr>
        <w:framePr w:w="9216"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委托有资质的第三方机构予以处理。报告期内，各项环保设施运行基本正常。</w:t>
      </w:r>
    </w:p>
    <w:p>
      <w:pPr>
        <w:framePr w:w="5448" w:x="1798" w:y="3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r>
        <w:rPr>
          <w:rFonts w:ascii="SimSun" w:hAnsi="SimSun" w:eastAsiaTheme="minorEastAsia" w:cs="SimSun"/>
          <w:color w:val="000000"/>
          <w:spacing w:val="1"/>
          <w:sz w:val="21"/>
          <w:szCs w:val="22"/>
          <w:lang w:val="en-US" w:eastAsia="en-US" w:bidi="ar-SA"/>
        </w:rPr>
        <w:t>建设项目环境影响评价及其他环境保护行政许可情况</w:t>
      </w:r>
    </w:p>
    <w:p>
      <w:pPr>
        <w:framePr w:w="1817" w:x="1798" w:y="3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6" w:x="1798" w:y="43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公司年产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pacing w:val="-1"/>
          <w:sz w:val="21"/>
          <w:szCs w:val="22"/>
          <w:lang w:val="en-US" w:eastAsia="en-US" w:bidi="ar-SA"/>
        </w:rPr>
        <w:t>吨高端综合智能制剂车间项目批复，批复号为：博审环表〔</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6"/>
          <w:sz w:val="21"/>
          <w:szCs w:val="22"/>
          <w:lang w:val="en-US" w:eastAsia="en-US" w:bidi="ar-SA"/>
        </w:rPr>
        <w:t>〕</w:t>
      </w:r>
      <w:r>
        <w:rPr>
          <w:rFonts w:ascii="SimSun" w:eastAsiaTheme="minorEastAsia" w:hAnsiTheme="minorHAnsi" w:cstheme="minorBidi"/>
          <w:color w:val="000000"/>
          <w:sz w:val="21"/>
          <w:szCs w:val="22"/>
          <w:lang w:val="en-US" w:eastAsia="en-US" w:bidi="ar-SA"/>
        </w:rPr>
        <w:t>374</w:t>
      </w:r>
      <w:r>
        <w:rPr>
          <w:rFonts w:ascii="SimSun" w:hAnsi="SimSun" w:eastAsiaTheme="minorEastAsia" w:cs="SimSun"/>
          <w:color w:val="000000"/>
          <w:spacing w:val="-5"/>
          <w:sz w:val="21"/>
          <w:szCs w:val="22"/>
          <w:lang w:val="en-US" w:eastAsia="en-US" w:bidi="ar-SA"/>
        </w:rPr>
        <w:t>号；潍</w:t>
      </w:r>
    </w:p>
    <w:p>
      <w:pPr>
        <w:framePr w:w="9076" w:x="1798" w:y="43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坊先达自动化提升及环保储存设施改造项目于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pacing w:val="-6"/>
          <w:sz w:val="21"/>
          <w:szCs w:val="22"/>
          <w:lang w:val="en-US" w:eastAsia="en-US" w:bidi="ar-SA"/>
        </w:rPr>
        <w:t>日取得备案，备案表文号：潍滨环表</w:t>
      </w:r>
    </w:p>
    <w:p>
      <w:pPr>
        <w:framePr w:w="9076" w:x="1798" w:y="43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审（</w:t>
      </w:r>
      <w:r>
        <w:rPr>
          <w:rFonts w:ascii="SimSun" w:eastAsiaTheme="minorEastAsia" w:hAnsiTheme="minorHAnsi" w:cstheme="minorBidi"/>
          <w:color w:val="000000"/>
          <w:sz w:val="21"/>
          <w:szCs w:val="22"/>
          <w:lang w:val="en-US" w:eastAsia="en-US" w:bidi="ar-SA"/>
        </w:rPr>
        <w:t>20042</w:t>
      </w:r>
      <w:r>
        <w:rPr>
          <w:rFonts w:ascii="SimSun" w:hAnsi="SimSun" w:eastAsiaTheme="minorEastAsia" w:cs="SimSun"/>
          <w:color w:val="000000"/>
          <w:sz w:val="21"/>
          <w:szCs w:val="22"/>
          <w:lang w:val="en-US" w:eastAsia="en-US" w:bidi="ar-SA"/>
        </w:rPr>
        <w:t>）；报告期内辽宁先达未审批新改扩建项目。</w:t>
      </w:r>
    </w:p>
    <w:p>
      <w:pPr>
        <w:framePr w:w="2710" w:x="1798" w:y="56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r>
        <w:rPr>
          <w:rFonts w:ascii="SimSun" w:hAnsi="SimSun" w:eastAsiaTheme="minorEastAsia" w:cs="SimSun"/>
          <w:color w:val="000000"/>
          <w:spacing w:val="1"/>
          <w:sz w:val="21"/>
          <w:szCs w:val="22"/>
          <w:lang w:val="en-US" w:eastAsia="en-US" w:bidi="ar-SA"/>
        </w:rPr>
        <w:t>突发环境事件应急预案</w:t>
      </w:r>
    </w:p>
    <w:p>
      <w:pPr>
        <w:framePr w:w="1817" w:x="1798" w:y="60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22" w:x="1798" w:y="64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本公司根据《突发环境事件应急预案备案管理办法》要求，</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7</w:t>
      </w:r>
      <w:r>
        <w:rPr>
          <w:rFonts w:ascii="SimSun" w:hAnsi="SimSun" w:eastAsiaTheme="minorEastAsia" w:cs="SimSun"/>
          <w:color w:val="000000"/>
          <w:spacing w:val="-1"/>
          <w:sz w:val="21"/>
          <w:szCs w:val="22"/>
          <w:lang w:val="en-US" w:eastAsia="en-US" w:bidi="ar-SA"/>
        </w:rPr>
        <w:t>月份，组织我市相关环</w:t>
      </w:r>
    </w:p>
    <w:p>
      <w:pPr>
        <w:framePr w:w="9322" w:x="1798" w:y="641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保专家对应急预案进行了评审，并在滨州市生态环境局和滨州市生态环境局博兴分局进行了备案，</w:t>
      </w:r>
    </w:p>
    <w:p>
      <w:pPr>
        <w:framePr w:w="9322" w:x="1798" w:y="64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备案号：</w:t>
      </w:r>
      <w:r>
        <w:rPr>
          <w:rFonts w:ascii="SimSun" w:eastAsiaTheme="minorEastAsia" w:hAnsiTheme="minorHAnsi" w:cstheme="minorBidi"/>
          <w:color w:val="000000"/>
          <w:sz w:val="21"/>
          <w:szCs w:val="22"/>
          <w:lang w:val="en-US" w:eastAsia="en-US" w:bidi="ar-SA"/>
        </w:rPr>
        <w:t>371625-2019-053-M,</w:t>
      </w:r>
      <w:r>
        <w:rPr>
          <w:rFonts w:ascii="SimSun" w:hAnsi="SimSun" w:eastAsiaTheme="minorEastAsia" w:cs="SimSun"/>
          <w:color w:val="000000"/>
          <w:sz w:val="21"/>
          <w:szCs w:val="22"/>
          <w:lang w:val="en-US" w:eastAsia="en-US" w:bidi="ar-SA"/>
        </w:rPr>
        <w:t>报告期内按照预案要求及时开展了应急演练。</w:t>
      </w:r>
    </w:p>
    <w:p>
      <w:pPr>
        <w:framePr w:w="9076" w:x="1798" w:y="776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潍坊先达根据《突发环境事件应急预案备案管理办法》要求，</w:t>
      </w: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9</w:t>
      </w:r>
      <w:r>
        <w:rPr>
          <w:rFonts w:ascii="SimSun" w:hAnsi="SimSun" w:eastAsiaTheme="minorEastAsia" w:cs="SimSun"/>
          <w:color w:val="000000"/>
          <w:spacing w:val="-1"/>
          <w:sz w:val="21"/>
          <w:szCs w:val="22"/>
          <w:lang w:val="en-US" w:eastAsia="en-US" w:bidi="ar-SA"/>
        </w:rPr>
        <w:t>月份，组织我市相关</w:t>
      </w:r>
    </w:p>
    <w:p>
      <w:pPr>
        <w:framePr w:w="9076" w:x="1798" w:y="77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环保专家对应急预案进行了评审，并在潍坊市环保局滨海分局进行了备案，备案号：</w:t>
      </w:r>
    </w:p>
    <w:p>
      <w:pPr>
        <w:framePr w:w="9076" w:x="1798" w:y="77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370703-2018-046-M,</w:t>
      </w:r>
      <w:r>
        <w:rPr>
          <w:rFonts w:ascii="SimSun" w:hAnsi="SimSun" w:eastAsiaTheme="minorEastAsia" w:cs="SimSun"/>
          <w:color w:val="000000"/>
          <w:sz w:val="21"/>
          <w:szCs w:val="22"/>
          <w:lang w:val="en-US" w:eastAsia="en-US" w:bidi="ar-SA"/>
        </w:rPr>
        <w:t>报告期内按照预案要求及时开展了应急演练。</w:t>
      </w:r>
    </w:p>
    <w:p>
      <w:pPr>
        <w:framePr w:w="9216" w:x="1798" w:y="911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辽宁先达根据《突发环境事件应急预案备案管理办法》要求，</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11</w:t>
      </w:r>
      <w:r>
        <w:rPr>
          <w:rFonts w:ascii="SimSun" w:hAnsi="SimSun" w:eastAsiaTheme="minorEastAsia" w:cs="SimSun"/>
          <w:color w:val="000000"/>
          <w:sz w:val="21"/>
          <w:szCs w:val="22"/>
          <w:lang w:val="en-US" w:eastAsia="en-US" w:bidi="ar-SA"/>
        </w:rPr>
        <w:t>月份，组织我市相</w:t>
      </w:r>
    </w:p>
    <w:p>
      <w:pPr>
        <w:framePr w:w="9216" w:x="1798" w:y="91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关环保专家对应急预案进行了评审，并在葫芦岛市生态环境局进行了备案，备案号：</w:t>
      </w:r>
    </w:p>
    <w:p>
      <w:pPr>
        <w:framePr w:w="9216" w:x="1798" w:y="91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211403-2019-026-H</w:t>
      </w:r>
      <w:r>
        <w:rPr>
          <w:rFonts w:ascii="SimSun" w:hAnsi="SimSun" w:eastAsiaTheme="minorEastAsia" w:cs="SimSun"/>
          <w:color w:val="000000"/>
          <w:spacing w:val="-3"/>
          <w:sz w:val="21"/>
          <w:szCs w:val="22"/>
          <w:lang w:val="en-US" w:eastAsia="en-US" w:bidi="ar-SA"/>
        </w:rPr>
        <w:t>。报告期内，依据辽宁公司管理架构的变化实施了修订，并按照预案要求及时</w:t>
      </w:r>
    </w:p>
    <w:p>
      <w:pPr>
        <w:framePr w:w="9216" w:x="1798" w:y="91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开展了应急演练。</w:t>
      </w:r>
    </w:p>
    <w:p>
      <w:pPr>
        <w:framePr w:w="2290" w:x="1798" w:y="10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r>
        <w:rPr>
          <w:rFonts w:ascii="SimSun" w:hAnsi="SimSun" w:eastAsiaTheme="minorEastAsia" w:cs="SimSun"/>
          <w:color w:val="000000"/>
          <w:spacing w:val="1"/>
          <w:sz w:val="21"/>
          <w:szCs w:val="22"/>
          <w:lang w:val="en-US" w:eastAsia="en-US" w:bidi="ar-SA"/>
        </w:rPr>
        <w:t>环境自行监测方案</w:t>
      </w:r>
    </w:p>
    <w:p>
      <w:pPr>
        <w:framePr w:w="1817" w:x="1798" w:y="111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22" w:x="1798" w:y="1158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公司及潍坊先达根据《排污许可证申请与核发技术规范</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3"/>
          <w:sz w:val="21"/>
          <w:szCs w:val="22"/>
          <w:lang w:val="en-US" w:eastAsia="en-US" w:bidi="ar-SA"/>
        </w:rPr>
        <w:t>农药制造工业》（</w:t>
      </w:r>
      <w:r>
        <w:rPr>
          <w:rFonts w:ascii="SimSun" w:eastAsiaTheme="minorEastAsia" w:hAnsiTheme="minorHAnsi" w:cstheme="minorBidi"/>
          <w:color w:val="000000"/>
          <w:sz w:val="21"/>
          <w:szCs w:val="22"/>
          <w:lang w:val="en-US" w:eastAsia="en-US" w:bidi="ar-SA"/>
        </w:rPr>
        <w:t>HJ862-2017</w:t>
      </w:r>
      <w:r>
        <w:rPr>
          <w:rFonts w:ascii="SimSun" w:hAnsi="SimSun" w:eastAsiaTheme="minorEastAsia" w:cs="SimSun"/>
          <w:color w:val="000000"/>
          <w:sz w:val="21"/>
          <w:szCs w:val="22"/>
          <w:lang w:val="en-US" w:eastAsia="en-US" w:bidi="ar-SA"/>
        </w:rPr>
        <w:t>）要求</w:t>
      </w:r>
    </w:p>
    <w:p>
      <w:pPr>
        <w:framePr w:w="9322" w:x="1798" w:y="1158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制定了企业环境自行监测方案，对公司排放污染物的监测指标、监测点位、监测频次、监测方法、</w:t>
      </w:r>
    </w:p>
    <w:p>
      <w:pPr>
        <w:framePr w:w="9322" w:x="1798" w:y="1158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执行排放标准及标准限值等进行了明确规定，并在山东省污染源监测信息共享系统网站上进行了</w:t>
      </w:r>
    </w:p>
    <w:p>
      <w:pPr>
        <w:framePr w:w="9322" w:x="1798" w:y="1158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信息公开。</w:t>
      </w:r>
    </w:p>
    <w:p>
      <w:pPr>
        <w:framePr w:w="9110" w:x="1798" w:y="133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辽宁先达根据《排污许可证申请与核发技术规范</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3"/>
          <w:sz w:val="21"/>
          <w:szCs w:val="22"/>
          <w:lang w:val="en-US" w:eastAsia="en-US" w:bidi="ar-SA"/>
        </w:rPr>
        <w:t>农药制造工业》（</w:t>
      </w:r>
      <w:r>
        <w:rPr>
          <w:rFonts w:ascii="SimSun" w:eastAsiaTheme="minorEastAsia" w:hAnsiTheme="minorHAnsi" w:cstheme="minorBidi"/>
          <w:color w:val="000000"/>
          <w:sz w:val="21"/>
          <w:szCs w:val="22"/>
          <w:lang w:val="en-US" w:eastAsia="en-US" w:bidi="ar-SA"/>
        </w:rPr>
        <w:t>HJ862-2017</w:t>
      </w:r>
      <w:r>
        <w:rPr>
          <w:rFonts w:ascii="SimSun" w:hAnsi="SimSun" w:eastAsiaTheme="minorEastAsia" w:cs="SimSun"/>
          <w:color w:val="000000"/>
          <w:spacing w:val="1"/>
          <w:sz w:val="21"/>
          <w:szCs w:val="22"/>
          <w:lang w:val="en-US" w:eastAsia="en-US" w:bidi="ar-SA"/>
        </w:rPr>
        <w:t>）要求制定了</w:t>
      </w:r>
    </w:p>
    <w:p>
      <w:pPr>
        <w:framePr w:w="9110" w:x="1798" w:y="13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企业环境自行监测方案，对公司排放污染物的监测指标、监测点位、监测频次、监测方法、执行</w:t>
      </w:r>
    </w:p>
    <w:p>
      <w:pPr>
        <w:framePr w:w="9110" w:x="1798" w:y="1334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排放标准及标准限值等进行了明确规定，并在辽宁省重点排污单位自行监测信息发布平台上进行</w:t>
      </w:r>
    </w:p>
    <w:p>
      <w:pPr>
        <w:framePr w:w="9110" w:x="1798" w:y="13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了信息公开。</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2" type="#_x0000_t75" style="width:445.6pt;height:2.7pt;margin-top:53.5pt;margin-left:87.45pt;mso-position-horizontal-relative:page;mso-position-vertical-relative:page;position:absolute;z-index:-25161420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44" w:name="br1_43"/>
      <w:bookmarkEnd w:id="44"/>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921"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r>
        <w:rPr>
          <w:rFonts w:ascii="SimSun" w:hAnsi="SimSun" w:eastAsiaTheme="minorEastAsia" w:cs="SimSun"/>
          <w:color w:val="000000"/>
          <w:spacing w:val="1"/>
          <w:sz w:val="21"/>
          <w:szCs w:val="22"/>
          <w:lang w:val="en-US" w:eastAsia="en-US" w:bidi="ar-SA"/>
        </w:rPr>
        <w:t>其他应当公开的环境信息</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2"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重点排污单位之外的公司的环保情况说明</w:t>
      </w:r>
    </w:p>
    <w:p>
      <w:pPr>
        <w:framePr w:w="4462"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513"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重点排污单位之外的公司未披露环境信息的原因说明</w:t>
      </w:r>
    </w:p>
    <w:p>
      <w:pPr>
        <w:framePr w:w="5513" w:x="1798" w:y="365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935"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报告期内披露环境信息内容的后续进展或变化情况的说明</w:t>
      </w:r>
    </w:p>
    <w:p>
      <w:pPr>
        <w:framePr w:w="5935" w:x="1798" w:y="47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8"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四</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其他说明</w:t>
      </w:r>
    </w:p>
    <w:p>
      <w:pPr>
        <w:framePr w:w="1922" w:x="1798" w:y="6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6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十八、可转换公司债券情况</w:t>
      </w:r>
    </w:p>
    <w:p>
      <w:pPr>
        <w:framePr w:w="2774" w:x="1798" w:y="68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874" w:x="3896" w:y="8218"/>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第六节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1"/>
          <w:sz w:val="28"/>
          <w:szCs w:val="22"/>
          <w:lang w:val="en-US" w:eastAsia="en-US" w:bidi="ar-SA"/>
        </w:rPr>
        <w:t>普通股股份变动及股东情况</w:t>
      </w:r>
    </w:p>
    <w:p>
      <w:pPr>
        <w:framePr w:w="2592" w:x="1798" w:y="9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一、普通股股本变动情况</w:t>
      </w:r>
    </w:p>
    <w:p>
      <w:pPr>
        <w:framePr w:w="2916" w:x="1798" w:y="946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普通股股份变动情况表</w:t>
      </w:r>
    </w:p>
    <w:p>
      <w:pPr>
        <w:framePr w:w="2770" w:x="1798" w:y="98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普通股股份变动情况表</w:t>
      </w:r>
    </w:p>
    <w:p>
      <w:pPr>
        <w:framePr w:w="1085" w:x="9792" w:y="104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单位：股</w:t>
      </w:r>
    </w:p>
    <w:p>
      <w:pPr>
        <w:framePr w:w="1544" w:x="2907" w:y="106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本次变动前</w:t>
      </w:r>
    </w:p>
    <w:p>
      <w:pPr>
        <w:framePr w:w="1544" w:x="2907" w:y="10685"/>
        <w:widowControl w:val="0"/>
        <w:autoSpaceDE w:val="0"/>
        <w:autoSpaceDN w:val="0"/>
        <w:spacing w:before="70" w:line="211" w:lineRule="exact"/>
        <w:ind w:left="88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1544" w:x="2907" w:y="10685"/>
        <w:widowControl w:val="0"/>
        <w:autoSpaceDE w:val="0"/>
        <w:autoSpaceDN w:val="0"/>
        <w:spacing w:before="62" w:line="211" w:lineRule="exact"/>
        <w:ind w:left="93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2563" w:x="5675" w:y="106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本次变动增减（＋，－）</w:t>
      </w:r>
    </w:p>
    <w:p>
      <w:pPr>
        <w:framePr w:w="1296" w:x="9780" w:y="106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本次变动后</w:t>
      </w:r>
    </w:p>
    <w:p>
      <w:pPr>
        <w:framePr w:w="874" w:x="4532" w:y="109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发行新</w:t>
      </w:r>
    </w:p>
    <w:p>
      <w:pPr>
        <w:framePr w:w="874" w:x="4532" w:y="10966"/>
        <w:widowControl w:val="0"/>
        <w:autoSpaceDE w:val="0"/>
        <w:autoSpaceDN w:val="0"/>
        <w:spacing w:before="6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w:t>
      </w:r>
    </w:p>
    <w:p>
      <w:pPr>
        <w:framePr w:w="451" w:x="5523" w:y="109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送</w:t>
      </w:r>
    </w:p>
    <w:p>
      <w:pPr>
        <w:framePr w:w="1085" w:x="6054" w:y="109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公积金转</w:t>
      </w:r>
    </w:p>
    <w:p>
      <w:pPr>
        <w:framePr w:w="1085" w:x="6054" w:y="10966"/>
        <w:widowControl w:val="0"/>
        <w:autoSpaceDE w:val="0"/>
        <w:autoSpaceDN w:val="0"/>
        <w:spacing w:before="62" w:line="211" w:lineRule="exact"/>
        <w:ind w:left="31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w:t>
      </w:r>
    </w:p>
    <w:p>
      <w:pPr>
        <w:framePr w:w="4203" w:x="7230" w:y="10966"/>
        <w:widowControl w:val="0"/>
        <w:autoSpaceDE w:val="0"/>
        <w:autoSpaceDN w:val="0"/>
        <w:spacing w:line="211" w:lineRule="exact"/>
        <w:ind w:left="35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4203" w:x="7230" w:y="10966"/>
        <w:widowControl w:val="0"/>
        <w:autoSpaceDE w:val="0"/>
        <w:autoSpaceDN w:val="0"/>
        <w:spacing w:before="62" w:line="211" w:lineRule="exact"/>
        <w:ind w:left="356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4203" w:x="7230" w:y="1096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-39,486,</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-37,796,</w:t>
      </w:r>
      <w:r>
        <w:rPr>
          <w:rFonts w:ascii="SimSun" w:eastAsiaTheme="minorEastAsia" w:hAnsiTheme="minorHAnsi" w:cstheme="minorBidi"/>
          <w:color w:val="000000"/>
          <w:spacing w:val="23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1,690,000</w:t>
      </w:r>
      <w:r>
        <w:rPr>
          <w:rFonts w:ascii="SimSun" w:eastAsiaTheme="minorEastAsia" w:hAnsiTheme="minorHAnsi" w:cstheme="minorBidi"/>
          <w:color w:val="000000"/>
          <w:spacing w:val="17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1.07</w:t>
      </w:r>
    </w:p>
    <w:p>
      <w:pPr>
        <w:framePr w:w="4203" w:x="7230" w:y="10966"/>
        <w:widowControl w:val="0"/>
        <w:autoSpaceDE w:val="0"/>
        <w:autoSpaceDN w:val="0"/>
        <w:spacing w:before="6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257</w:t>
      </w:r>
      <w:r>
        <w:rPr>
          <w:rFonts w:ascii="SimSun" w:eastAsiaTheme="minorEastAsia" w:hAnsiTheme="minorHAnsi" w:cstheme="minorBidi"/>
          <w:color w:val="000000"/>
          <w:spacing w:val="71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257</w:t>
      </w:r>
    </w:p>
    <w:p>
      <w:pPr>
        <w:framePr w:w="662" w:x="2868" w:y="11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662" w:x="7401" w:y="11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8533" w:y="11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小计</w:t>
      </w:r>
    </w:p>
    <w:p>
      <w:pPr>
        <w:framePr w:w="662" w:x="9744" w:y="11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451" w:x="5523" w:y="11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w:t>
      </w:r>
    </w:p>
    <w:p>
      <w:pPr>
        <w:framePr w:w="4710" w:x="770" w:y="115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一、有限售条件股</w:t>
      </w:r>
      <w:r>
        <w:rPr>
          <w:rFonts w:eastAsiaTheme="minorEastAsia" w:hAnsiTheme="minorHAnsi" w:cstheme="minorBidi"/>
          <w:color w:val="000000"/>
          <w:spacing w:val="24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35.2</w:t>
      </w:r>
      <w:r>
        <w:rPr>
          <w:rFonts w:ascii="SimSun" w:eastAsiaTheme="minorEastAsia" w:hAnsiTheme="minorHAnsi" w:cstheme="minorBidi"/>
          <w:color w:val="000000"/>
          <w:spacing w:val="1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1,690,0</w:t>
      </w:r>
    </w:p>
    <w:p>
      <w:pPr>
        <w:framePr w:w="451" w:x="770" w:y="117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份</w:t>
      </w:r>
    </w:p>
    <w:p>
      <w:pPr>
        <w:framePr w:w="451" w:x="3324" w:y="1179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p>
    <w:p>
      <w:pPr>
        <w:framePr w:w="346" w:x="4139" w:y="1179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451" w:x="5027" w:y="1179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1824" w:x="770" w:y="120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、国家持股</w:t>
      </w:r>
    </w:p>
    <w:p>
      <w:pPr>
        <w:framePr w:w="1824" w:x="770" w:y="1207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、国有法人持股</w:t>
      </w:r>
    </w:p>
    <w:p>
      <w:pPr>
        <w:framePr w:w="4710" w:x="770" w:y="126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、其他内资持股</w:t>
      </w:r>
      <w:r>
        <w:rPr>
          <w:rFonts w:eastAsiaTheme="minorEastAsia" w:hAnsiTheme="minorHAnsi" w:cstheme="minorBidi"/>
          <w:color w:val="000000"/>
          <w:spacing w:val="29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35.2</w:t>
      </w:r>
      <w:r>
        <w:rPr>
          <w:rFonts w:ascii="SimSun" w:eastAsiaTheme="minorEastAsia" w:hAnsiTheme="minorHAnsi" w:cstheme="minorBidi"/>
          <w:color w:val="000000"/>
          <w:spacing w:val="1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1,690,0</w:t>
      </w:r>
    </w:p>
    <w:p>
      <w:pPr>
        <w:framePr w:w="4710" w:x="770" w:y="12642"/>
        <w:widowControl w:val="0"/>
        <w:autoSpaceDE w:val="0"/>
        <w:autoSpaceDN w:val="0"/>
        <w:spacing w:before="60" w:line="211" w:lineRule="exact"/>
        <w:ind w:left="255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r>
        <w:rPr>
          <w:rFonts w:ascii="SimSun" w:eastAsiaTheme="minorEastAsia" w:hAnsiTheme="minorHAnsi" w:cstheme="minorBidi"/>
          <w:color w:val="000000"/>
          <w:spacing w:val="138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00</w:t>
      </w:r>
    </w:p>
    <w:p>
      <w:pPr>
        <w:framePr w:w="4203" w:x="7230" w:y="126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-39,486,</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-37,796,</w:t>
      </w:r>
      <w:r>
        <w:rPr>
          <w:rFonts w:ascii="SimSun" w:eastAsiaTheme="minorEastAsia" w:hAnsiTheme="minorHAnsi" w:cstheme="minorBidi"/>
          <w:color w:val="000000"/>
          <w:spacing w:val="23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1,690,000</w:t>
      </w:r>
      <w:r>
        <w:rPr>
          <w:rFonts w:ascii="SimSun" w:eastAsiaTheme="minorEastAsia" w:hAnsiTheme="minorHAnsi" w:cstheme="minorBidi"/>
          <w:color w:val="000000"/>
          <w:spacing w:val="17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1.07</w:t>
      </w:r>
    </w:p>
    <w:p>
      <w:pPr>
        <w:framePr w:w="4203" w:x="7230" w:y="12642"/>
        <w:widowControl w:val="0"/>
        <w:autoSpaceDE w:val="0"/>
        <w:autoSpaceDN w:val="0"/>
        <w:spacing w:before="60"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257</w:t>
      </w:r>
      <w:r>
        <w:rPr>
          <w:rFonts w:ascii="SimSun" w:eastAsiaTheme="minorEastAsia" w:hAnsiTheme="minorHAnsi" w:cstheme="minorBidi"/>
          <w:color w:val="000000"/>
          <w:spacing w:val="71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257</w:t>
      </w:r>
    </w:p>
    <w:p>
      <w:pPr>
        <w:framePr w:w="346" w:x="4139" w:y="129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1930" w:x="770" w:y="131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其中：境内非国有</w:t>
      </w:r>
    </w:p>
    <w:p>
      <w:pPr>
        <w:framePr w:w="1930" w:x="770" w:y="1319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法人持股</w:t>
      </w:r>
    </w:p>
    <w:p>
      <w:pPr>
        <w:framePr w:w="1085" w:x="1402" w:y="13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境内自然</w:t>
      </w:r>
    </w:p>
    <w:p>
      <w:pPr>
        <w:framePr w:w="2785" w:x="2696" w:y="137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39,486,2</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35.2</w:t>
      </w:r>
      <w:r>
        <w:rPr>
          <w:rFonts w:ascii="SimSun" w:eastAsiaTheme="minorEastAsia" w:hAnsiTheme="minorHAnsi" w:cstheme="minorBidi"/>
          <w:color w:val="000000"/>
          <w:spacing w:val="1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1,690,0</w:t>
      </w:r>
    </w:p>
    <w:p>
      <w:pPr>
        <w:framePr w:w="2785" w:x="2696" w:y="13751"/>
        <w:widowControl w:val="0"/>
        <w:autoSpaceDE w:val="0"/>
        <w:autoSpaceDN w:val="0"/>
        <w:spacing w:before="62"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r>
        <w:rPr>
          <w:rFonts w:ascii="SimSun" w:eastAsiaTheme="minorEastAsia" w:hAnsiTheme="minorHAnsi" w:cstheme="minorBidi"/>
          <w:color w:val="000000"/>
          <w:spacing w:val="138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00</w:t>
      </w:r>
    </w:p>
    <w:p>
      <w:pPr>
        <w:framePr w:w="4203" w:x="7230" w:y="137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-39,486,</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-37,796,</w:t>
      </w:r>
      <w:r>
        <w:rPr>
          <w:rFonts w:ascii="SimSun" w:eastAsiaTheme="minorEastAsia" w:hAnsiTheme="minorHAnsi" w:cstheme="minorBidi"/>
          <w:color w:val="000000"/>
          <w:spacing w:val="23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1,690,000</w:t>
      </w:r>
      <w:r>
        <w:rPr>
          <w:rFonts w:ascii="SimSun" w:eastAsiaTheme="minorEastAsia" w:hAnsiTheme="minorHAnsi" w:cstheme="minorBidi"/>
          <w:color w:val="000000"/>
          <w:spacing w:val="17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1.07</w:t>
      </w:r>
    </w:p>
    <w:p>
      <w:pPr>
        <w:framePr w:w="4203" w:x="7230" w:y="13751"/>
        <w:widowControl w:val="0"/>
        <w:autoSpaceDE w:val="0"/>
        <w:autoSpaceDN w:val="0"/>
        <w:spacing w:before="6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257</w:t>
      </w:r>
      <w:r>
        <w:rPr>
          <w:rFonts w:ascii="SimSun" w:eastAsiaTheme="minorEastAsia" w:hAnsiTheme="minorHAnsi" w:cstheme="minorBidi"/>
          <w:color w:val="000000"/>
          <w:spacing w:val="71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257</w:t>
      </w:r>
    </w:p>
    <w:p>
      <w:pPr>
        <w:framePr w:w="874" w:x="770" w:y="140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人持股</w:t>
      </w:r>
    </w:p>
    <w:p>
      <w:pPr>
        <w:framePr w:w="346" w:x="4139" w:y="140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1930" w:x="770" w:y="143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、外资持股</w:t>
      </w:r>
    </w:p>
    <w:p>
      <w:pPr>
        <w:framePr w:w="1930" w:x="770" w:y="1430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其中：境外法人持</w:t>
      </w:r>
    </w:p>
    <w:p>
      <w:pPr>
        <w:framePr w:w="1930" w:x="770" w:y="1430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3" type="#_x0000_t75" style="width:445.6pt;height:2.7pt;margin-top:53.5pt;margin-left:87.45pt;mso-position-horizontal-relative:page;mso-position-vertical-relative:page;position:absolute;z-index:-251302912">
            <v:imagedata r:id="rId93" o:title=""/>
          </v:shape>
        </w:pict>
      </w:r>
      <w:r>
        <w:rPr>
          <w:noProof/>
        </w:rPr>
        <w:pict>
          <v:shape id="_x0000_s1134" type="#_x0000_t75" style="width:44.25pt;height:20.35pt;margin-top:407.7pt;margin-left:256.8pt;mso-position-horizontal-relative:page;mso-position-vertical-relative:page;position:absolute;z-index:-251427840">
            <v:imagedata r:id="rId94" o:title=""/>
          </v:shape>
        </w:pict>
      </w:r>
      <w:r>
        <w:rPr>
          <w:noProof/>
        </w:rPr>
        <w:pict>
          <v:shape id="_x0000_s1135" type="#_x0000_t75" style="width:534.3pt;height:225.35pt;margin-top:531.3pt;margin-left:31.9pt;mso-position-horizontal-relative:page;mso-position-vertical-relative:page;position:absolute;z-index:-251613184">
            <v:imagedata r:id="rId95" o:title=""/>
          </v:shape>
        </w:pict>
      </w:r>
    </w:p>
    <w:p>
      <w:pPr>
        <w:spacing w:line="0" w:lineRule="atLeast"/>
        <w:rPr>
          <w:rFonts w:ascii="Arial" w:eastAsiaTheme="minorEastAsia" w:hAnsiTheme="minorHAnsi" w:cstheme="minorBidi"/>
          <w:color w:val="FF0000"/>
          <w:sz w:val="2"/>
          <w:szCs w:val="22"/>
          <w:lang w:val="en-US" w:eastAsia="en-US" w:bidi="ar-SA"/>
        </w:rPr>
      </w:pPr>
      <w:bookmarkStart w:id="45" w:name="br1_44"/>
      <w:bookmarkEnd w:id="45"/>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716" w:x="770" w:y="1547"/>
        <w:widowControl w:val="0"/>
        <w:autoSpaceDE w:val="0"/>
        <w:autoSpaceDN w:val="0"/>
        <w:spacing w:line="211" w:lineRule="exact"/>
        <w:ind w:left="63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境外自然</w:t>
      </w:r>
    </w:p>
    <w:p>
      <w:pPr>
        <w:framePr w:w="3716" w:x="770" w:y="154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人持股</w:t>
      </w:r>
    </w:p>
    <w:p>
      <w:pPr>
        <w:framePr w:w="3716" w:x="770"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二、无限售条件流</w:t>
      </w:r>
      <w:r>
        <w:rPr>
          <w:rFonts w:eastAsiaTheme="minorEastAsia" w:hAnsiTheme="minorHAnsi" w:cstheme="minorBidi"/>
          <w:color w:val="000000"/>
          <w:spacing w:val="24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72,513,7</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64.7</w:t>
      </w:r>
    </w:p>
    <w:p>
      <w:pPr>
        <w:framePr w:w="3716" w:x="770" w:y="1547"/>
        <w:widowControl w:val="0"/>
        <w:autoSpaceDE w:val="0"/>
        <w:autoSpaceDN w:val="0"/>
        <w:spacing w:before="6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通股份</w:t>
      </w:r>
      <w:r>
        <w:rPr>
          <w:rFonts w:eastAsiaTheme="minorEastAsia" w:hAnsiTheme="minorHAnsi" w:cstheme="minorBidi"/>
          <w:color w:val="000000"/>
          <w:spacing w:val="186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43</w:t>
      </w:r>
    </w:p>
    <w:p>
      <w:pPr>
        <w:framePr w:w="3716" w:x="770"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、人民币普通股</w:t>
      </w:r>
      <w:r>
        <w:rPr>
          <w:rFonts w:eastAsiaTheme="minorEastAsia" w:hAnsiTheme="minorHAnsi" w:cstheme="minorBidi"/>
          <w:color w:val="000000"/>
          <w:spacing w:val="29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72,513,7</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64.7</w:t>
      </w:r>
    </w:p>
    <w:p>
      <w:pPr>
        <w:framePr w:w="5341" w:x="6092"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w:t>
      </w:r>
      <w:r>
        <w:rPr>
          <w:rFonts w:ascii="SimSun" w:eastAsiaTheme="minorEastAsia" w:hAnsiTheme="minorHAnsi" w:cstheme="minorBidi"/>
          <w:color w:val="000000"/>
          <w:spacing w:val="19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84,286,2</w:t>
      </w:r>
      <w:r>
        <w:rPr>
          <w:rFonts w:ascii="SimSun" w:eastAsiaTheme="minorEastAsia" w:hAnsiTheme="minorHAnsi" w:cstheme="minorBidi"/>
          <w:color w:val="000000"/>
          <w:spacing w:val="1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w:t>
      </w:r>
      <w:r>
        <w:rPr>
          <w:rFonts w:ascii="SimSun" w:eastAsiaTheme="minorEastAsia" w:hAnsiTheme="minorHAnsi" w:cstheme="minorBidi"/>
          <w:color w:val="000000"/>
          <w:spacing w:val="17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98.9</w:t>
      </w:r>
    </w:p>
    <w:p>
      <w:pPr>
        <w:framePr w:w="5341" w:x="6092" w:y="2102"/>
        <w:widowControl w:val="0"/>
        <w:autoSpaceDE w:val="0"/>
        <w:autoSpaceDN w:val="0"/>
        <w:spacing w:before="60"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r>
        <w:rPr>
          <w:rFonts w:ascii="SimSun" w:eastAsiaTheme="minorEastAsia" w:hAnsiTheme="minorHAnsi" w:cstheme="minorBidi"/>
          <w:color w:val="000000"/>
          <w:spacing w:val="82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57</w:t>
      </w:r>
      <w:r>
        <w:rPr>
          <w:rFonts w:ascii="SimSun" w:eastAsiaTheme="minorEastAsia" w:hAnsiTheme="minorHAnsi" w:cstheme="minorBidi"/>
          <w:color w:val="000000"/>
          <w:spacing w:val="817"/>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57</w:t>
      </w:r>
    </w:p>
    <w:p>
      <w:pPr>
        <w:framePr w:w="5341" w:x="6092" w:y="210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w:t>
      </w:r>
      <w:r>
        <w:rPr>
          <w:rFonts w:ascii="SimSun" w:eastAsiaTheme="minorEastAsia" w:hAnsiTheme="minorHAnsi" w:cstheme="minorBidi"/>
          <w:color w:val="000000"/>
          <w:spacing w:val="19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84,286,2</w:t>
      </w:r>
      <w:r>
        <w:rPr>
          <w:rFonts w:ascii="SimSun" w:eastAsiaTheme="minorEastAsia" w:hAnsiTheme="minorHAnsi" w:cstheme="minorBidi"/>
          <w:color w:val="000000"/>
          <w:spacing w:val="1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w:t>
      </w:r>
      <w:r>
        <w:rPr>
          <w:rFonts w:ascii="SimSun" w:eastAsiaTheme="minorEastAsia" w:hAnsiTheme="minorHAnsi" w:cstheme="minorBidi"/>
          <w:color w:val="000000"/>
          <w:spacing w:val="17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98.9</w:t>
      </w:r>
    </w:p>
    <w:p>
      <w:pPr>
        <w:framePr w:w="346" w:x="4139" w:y="23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346" w:x="10382" w:y="23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1085" w:y="23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451" w:x="3324" w:y="29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43</w:t>
      </w:r>
    </w:p>
    <w:p>
      <w:pPr>
        <w:framePr w:w="346" w:x="4139" w:y="29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451" w:x="6721" w:y="29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451" w:x="7859" w:y="29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p>
    <w:p>
      <w:pPr>
        <w:framePr w:w="451" w:x="8992" w:y="29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p>
    <w:p>
      <w:pPr>
        <w:framePr w:w="346" w:x="10382" w:y="29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1085" w:y="29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1824" w:x="770" w:y="32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、境内上市的外</w:t>
      </w:r>
    </w:p>
    <w:p>
      <w:pPr>
        <w:framePr w:w="1824" w:x="770" w:y="321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资股</w:t>
      </w:r>
    </w:p>
    <w:p>
      <w:pPr>
        <w:framePr w:w="1824" w:x="770" w:y="3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、境外上市的外</w:t>
      </w:r>
    </w:p>
    <w:p>
      <w:pPr>
        <w:framePr w:w="1824" w:x="770" w:y="376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资股</w:t>
      </w:r>
    </w:p>
    <w:p>
      <w:pPr>
        <w:framePr w:w="979" w:x="770" w:y="4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、其他</w:t>
      </w:r>
    </w:p>
    <w:p>
      <w:pPr>
        <w:framePr w:w="3008" w:x="770" w:y="46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三、普通股股份总</w:t>
      </w:r>
      <w:r>
        <w:rPr>
          <w:rFonts w:eastAsiaTheme="minorEastAsia" w:hAnsiTheme="minorHAnsi" w:cstheme="minorBidi"/>
          <w:color w:val="000000"/>
          <w:spacing w:val="24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112,000,</w:t>
      </w:r>
    </w:p>
    <w:p>
      <w:pPr>
        <w:framePr w:w="1550" w:x="3930" w:y="46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r>
        <w:rPr>
          <w:rFonts w:ascii="SimSun" w:eastAsiaTheme="minorEastAsia" w:hAnsiTheme="minorHAnsi" w:cstheme="minorBidi"/>
          <w:color w:val="000000"/>
          <w:spacing w:val="1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1,690,0</w:t>
      </w:r>
    </w:p>
    <w:p>
      <w:pPr>
        <w:framePr w:w="1550" w:x="3930" w:y="4603"/>
        <w:widowControl w:val="0"/>
        <w:autoSpaceDE w:val="0"/>
        <w:autoSpaceDN w:val="0"/>
        <w:spacing w:before="60" w:line="211" w:lineRule="exact"/>
        <w:ind w:left="109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1085" w:x="6092" w:y="46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w:t>
      </w:r>
    </w:p>
    <w:p>
      <w:pPr>
        <w:framePr w:w="1085" w:x="6092" w:y="4603"/>
        <w:widowControl w:val="0"/>
        <w:autoSpaceDE w:val="0"/>
        <w:autoSpaceDN w:val="0"/>
        <w:spacing w:before="60"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2765" w:x="7965" w:y="46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r>
        <w:rPr>
          <w:rFonts w:ascii="SimSun" w:eastAsiaTheme="minorEastAsia" w:hAnsiTheme="minorHAnsi" w:cstheme="minorBidi"/>
          <w:color w:val="000000"/>
          <w:spacing w:val="18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46,490,0</w:t>
      </w:r>
      <w:r>
        <w:rPr>
          <w:rFonts w:ascii="SimSun" w:eastAsiaTheme="minorEastAsia" w:hAnsiTheme="minorHAnsi" w:cstheme="minorBidi"/>
          <w:color w:val="000000"/>
          <w:spacing w:val="1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158,490,00</w:t>
      </w:r>
    </w:p>
    <w:p>
      <w:pPr>
        <w:framePr w:w="2765" w:x="7965" w:y="4603"/>
        <w:widowControl w:val="0"/>
        <w:autoSpaceDE w:val="0"/>
        <w:autoSpaceDN w:val="0"/>
        <w:spacing w:before="60" w:line="211" w:lineRule="exact"/>
        <w:ind w:left="102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557" w:x="10876" w:y="46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451" w:x="770" w:y="48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framePr w:w="557" w:x="3221" w:y="4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346" w:x="10382" w:y="4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2981" w:x="1798" w:y="54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普通股股份变动情况说明</w:t>
      </w:r>
    </w:p>
    <w:p>
      <w:pPr>
        <w:framePr w:w="1922" w:x="1798" w:y="5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22" w:x="1798" w:y="621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日召开</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年年度股东大会，审议通过了《关于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年度利润分配</w:t>
      </w:r>
    </w:p>
    <w:p>
      <w:pPr>
        <w:framePr w:w="9322" w:x="1798" w:y="621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及资本公积金转增股本预案的议案》，同意以截至</w:t>
      </w:r>
      <w:r>
        <w:rPr>
          <w:rFonts w:eastAsiaTheme="minorEastAsia" w:hAnsiTheme="minorHAnsi" w:cstheme="minorBidi"/>
          <w:color w:val="000000"/>
          <w:spacing w:val="1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日总股本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w:t>
      </w:r>
      <w:r>
        <w:rPr>
          <w:rFonts w:ascii="SimSun" w:hAnsi="SimSun" w:eastAsiaTheme="minorEastAsia" w:cs="SimSun"/>
          <w:color w:val="000000"/>
          <w:sz w:val="21"/>
          <w:szCs w:val="22"/>
          <w:lang w:val="en-US" w:eastAsia="en-US" w:bidi="ar-SA"/>
        </w:rPr>
        <w:t>万股为基数，</w:t>
      </w:r>
    </w:p>
    <w:p>
      <w:pPr>
        <w:framePr w:w="9322" w:x="1798" w:y="621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向全体股东每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股派现金股利</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w:t>
      </w:r>
      <w:r>
        <w:rPr>
          <w:rFonts w:ascii="SimSun" w:hAnsi="SimSun" w:eastAsiaTheme="minorEastAsia" w:cs="SimSun"/>
          <w:color w:val="000000"/>
          <w:spacing w:val="-18"/>
          <w:sz w:val="21"/>
          <w:szCs w:val="22"/>
          <w:lang w:val="en-US" w:eastAsia="en-US" w:bidi="ar-SA"/>
        </w:rPr>
        <w:t>元人民币（含税），共计派发现金股利</w:t>
      </w:r>
      <w:r>
        <w:rPr>
          <w:rFonts w:eastAsiaTheme="minorEastAsia" w:hAnsiTheme="minorHAnsi" w:cstheme="minorBidi"/>
          <w:color w:val="000000"/>
          <w:spacing w:val="2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3,360.00</w:t>
      </w:r>
      <w:r>
        <w:rPr>
          <w:rFonts w:ascii="SimSun" w:hAnsi="SimSun" w:eastAsiaTheme="minorEastAsia" w:cs="SimSun"/>
          <w:color w:val="000000"/>
          <w:spacing w:val="-29"/>
          <w:sz w:val="21"/>
          <w:szCs w:val="22"/>
          <w:lang w:val="en-US" w:eastAsia="en-US" w:bidi="ar-SA"/>
        </w:rPr>
        <w:t>万元（含税）；</w:t>
      </w:r>
    </w:p>
    <w:p>
      <w:pPr>
        <w:framePr w:w="9322" w:x="1798" w:y="621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同时以资本公积转增股本方式向全体股东每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pacing w:val="-1"/>
          <w:sz w:val="21"/>
          <w:szCs w:val="22"/>
          <w:lang w:val="en-US" w:eastAsia="en-US" w:bidi="ar-SA"/>
        </w:rPr>
        <w:t>股转增</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股，合计转增</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4,480.00</w:t>
      </w:r>
      <w:r>
        <w:rPr>
          <w:rFonts w:ascii="SimSun" w:hAnsi="SimSun" w:eastAsiaTheme="minorEastAsia" w:cs="SimSun"/>
          <w:color w:val="000000"/>
          <w:sz w:val="21"/>
          <w:szCs w:val="22"/>
          <w:lang w:val="en-US" w:eastAsia="en-US" w:bidi="ar-SA"/>
        </w:rPr>
        <w:t>万股，转增后公</w:t>
      </w:r>
    </w:p>
    <w:p>
      <w:pPr>
        <w:framePr w:w="9322" w:x="1798" w:y="621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司总股本为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w:t>
      </w:r>
      <w:r>
        <w:rPr>
          <w:rFonts w:ascii="SimSun" w:hAnsi="SimSun" w:eastAsiaTheme="minorEastAsia" w:cs="SimSun"/>
          <w:color w:val="000000"/>
          <w:sz w:val="21"/>
          <w:szCs w:val="22"/>
          <w:lang w:val="en-US" w:eastAsia="en-US" w:bidi="ar-SA"/>
        </w:rPr>
        <w:t>万股。上述事项于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月实施完毕。</w:t>
      </w:r>
    </w:p>
    <w:p>
      <w:pPr>
        <w:framePr w:w="9110" w:x="1798" w:y="83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w:t>
      </w:r>
      <w:r>
        <w:rPr>
          <w:rFonts w:ascii="SimSun" w:hAnsi="SimSun" w:eastAsiaTheme="minorEastAsia" w:cs="SimSun"/>
          <w:color w:val="000000"/>
          <w:sz w:val="21"/>
          <w:szCs w:val="22"/>
          <w:lang w:val="en-US" w:eastAsia="en-US" w:bidi="ar-SA"/>
        </w:rPr>
        <w:t>日召开</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年第一次临时股东大会，审议通过了《关于公司</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p>
    <w:p>
      <w:pPr>
        <w:framePr w:w="9110" w:x="1798" w:y="8376"/>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限制性股票激励计划（草案）及其摘要的议案》等相关事项，公司于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日在中国证</w:t>
      </w:r>
    </w:p>
    <w:p>
      <w:pPr>
        <w:framePr w:w="9110" w:x="1798" w:y="837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券登记结算有限责任公司上海分公司完成</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4"/>
          <w:sz w:val="21"/>
          <w:szCs w:val="22"/>
          <w:lang w:val="en-US" w:eastAsia="en-US" w:bidi="ar-SA"/>
        </w:rPr>
        <w:t>年限制性股票激励计划授予登记工作，公司总股本</w:t>
      </w:r>
    </w:p>
    <w:p>
      <w:pPr>
        <w:framePr w:w="9110" w:x="1798" w:y="837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由</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w:t>
      </w:r>
      <w:r>
        <w:rPr>
          <w:rFonts w:ascii="SimSun" w:hAnsi="SimSun" w:eastAsiaTheme="minorEastAsia" w:cs="SimSun"/>
          <w:color w:val="000000"/>
          <w:sz w:val="21"/>
          <w:szCs w:val="22"/>
          <w:lang w:val="en-US" w:eastAsia="en-US" w:bidi="ar-SA"/>
        </w:rPr>
        <w:t>万股变更为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15,849</w:t>
      </w:r>
      <w:r>
        <w:rPr>
          <w:rFonts w:ascii="SimSun" w:hAnsi="SimSun" w:eastAsiaTheme="minorEastAsia" w:cs="SimSun"/>
          <w:color w:val="000000"/>
          <w:sz w:val="21"/>
          <w:szCs w:val="22"/>
          <w:lang w:val="en-US" w:eastAsia="en-US" w:bidi="ar-SA"/>
        </w:rPr>
        <w:t>万股。</w:t>
      </w:r>
    </w:p>
    <w:p>
      <w:pPr>
        <w:framePr w:w="8883" w:x="1798" w:y="10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普通股股份变动对最近一年和最近一期每股收益、每股净资产等财务指标的影响（如有）</w:t>
      </w:r>
    </w:p>
    <w:p>
      <w:pPr>
        <w:framePr w:w="1922" w:x="1798" w:y="106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10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报告期内，公司因实施</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pacing w:val="-2"/>
          <w:sz w:val="21"/>
          <w:szCs w:val="22"/>
          <w:lang w:val="en-US" w:eastAsia="en-US" w:bidi="ar-SA"/>
        </w:rPr>
        <w:t>年度利润分配方案、限制性股票导致公司股本发生变动，具体金额详</w:t>
      </w:r>
    </w:p>
    <w:p>
      <w:pPr>
        <w:framePr w:w="9110" w:x="1798" w:y="1105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见“第二节七、近三年主要会计数据和财务指标。</w:t>
      </w:r>
    </w:p>
    <w:p>
      <w:pPr>
        <w:framePr w:w="5299" w:x="1798" w:y="11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公司认为必要或证券监管机构要求披露的其他内容</w:t>
      </w:r>
    </w:p>
    <w:p>
      <w:pPr>
        <w:framePr w:w="5299" w:x="1798" w:y="11989"/>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96" w:x="1798" w:y="1302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限售股份变动情况</w:t>
      </w:r>
    </w:p>
    <w:p>
      <w:pPr>
        <w:framePr w:w="1817" w:x="1798" w:y="133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2" w:x="9792" w:y="136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股</w:t>
      </w:r>
    </w:p>
    <w:p>
      <w:pPr>
        <w:framePr w:w="5334" w:x="2264" w:y="139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年初限售股</w:t>
      </w:r>
      <w:r>
        <w:rPr>
          <w:rFonts w:eastAsiaTheme="minorEastAsia" w:hAnsiTheme="minorHAnsi" w:cstheme="minorBidi"/>
          <w:color w:val="000000"/>
          <w:spacing w:val="24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本年解除限</w:t>
      </w:r>
      <w:r>
        <w:rPr>
          <w:rFonts w:eastAsiaTheme="minorEastAsia" w:hAnsiTheme="minorHAnsi" w:cstheme="minorBidi"/>
          <w:color w:val="000000"/>
          <w:spacing w:val="23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本年增加限</w:t>
      </w:r>
      <w:r>
        <w:rPr>
          <w:rFonts w:eastAsiaTheme="minorEastAsia" w:hAnsiTheme="minorHAnsi" w:cstheme="minorBidi"/>
          <w:color w:val="000000"/>
          <w:spacing w:val="24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年末限售股</w:t>
      </w:r>
    </w:p>
    <w:p>
      <w:pPr>
        <w:framePr w:w="1085" w:x="809" w:y="140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股东名称</w:t>
      </w:r>
    </w:p>
    <w:p>
      <w:pPr>
        <w:framePr w:w="1334" w:x="7576" w:y="14070"/>
        <w:widowControl w:val="0"/>
        <w:autoSpaceDE w:val="0"/>
        <w:autoSpaceDN w:val="0"/>
        <w:spacing w:line="211" w:lineRule="exact"/>
        <w:ind w:left="25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限售原因</w:t>
      </w:r>
    </w:p>
    <w:p>
      <w:pPr>
        <w:framePr w:w="1334" w:x="7576" w:y="14070"/>
        <w:widowControl w:val="0"/>
        <w:autoSpaceDE w:val="0"/>
        <w:autoSpaceDN w:val="0"/>
        <w:spacing w:before="20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首发限售</w:t>
      </w:r>
    </w:p>
    <w:p>
      <w:pPr>
        <w:framePr w:w="1334" w:x="7576" w:y="1407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首发限售</w:t>
      </w:r>
    </w:p>
    <w:p>
      <w:pPr>
        <w:framePr w:w="2110" w:x="9136" w:y="14070"/>
        <w:widowControl w:val="0"/>
        <w:autoSpaceDE w:val="0"/>
        <w:autoSpaceDN w:val="0"/>
        <w:spacing w:line="211" w:lineRule="exact"/>
        <w:ind w:left="60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解除限售日期</w:t>
      </w:r>
    </w:p>
    <w:p>
      <w:pPr>
        <w:framePr w:w="2110" w:x="9136" w:y="14070"/>
        <w:widowControl w:val="0"/>
        <w:autoSpaceDE w:val="0"/>
        <w:autoSpaceDN w:val="0"/>
        <w:spacing w:before="20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2020.5.11</w:t>
      </w:r>
    </w:p>
    <w:p>
      <w:pPr>
        <w:framePr w:w="2110" w:x="9136" w:y="1407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2020.5.11</w:t>
      </w:r>
    </w:p>
    <w:p>
      <w:pPr>
        <w:framePr w:w="451" w:x="2684" w:y="142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framePr w:w="874" w:x="3822" w:y="142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售股数</w:t>
      </w:r>
    </w:p>
    <w:p>
      <w:pPr>
        <w:framePr w:w="874" w:x="5168" w:y="142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售股数</w:t>
      </w:r>
    </w:p>
    <w:p>
      <w:pPr>
        <w:framePr w:w="451" w:x="6724" w:y="142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framePr w:w="874" w:x="487" w:y="144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2573" w:x="2338" w:y="144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37,537,208</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37,537,208</w:t>
      </w:r>
    </w:p>
    <w:p>
      <w:pPr>
        <w:framePr w:w="2573" w:x="2338" w:y="14490"/>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1,327,505</w:t>
      </w:r>
      <w:r>
        <w:rPr>
          <w:rFonts w:ascii="SimSun" w:eastAsiaTheme="minorEastAsia" w:hAnsiTheme="minorHAnsi" w:cstheme="minorBidi"/>
          <w:color w:val="000000"/>
          <w:spacing w:val="2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1,327,505</w:t>
      </w:r>
    </w:p>
    <w:p>
      <w:pPr>
        <w:framePr w:w="346" w:x="7254" w:y="144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254" w:y="1449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874" w:x="487" w:y="147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孙利娟</w:t>
      </w:r>
    </w:p>
    <w:p>
      <w:pPr>
        <w:framePr w:w="874" w:x="487" w:y="1477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侯万富</w:t>
      </w:r>
    </w:p>
    <w:p>
      <w:pPr>
        <w:framePr w:w="979" w:x="2655" w:y="150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520,713</w:t>
      </w:r>
    </w:p>
    <w:p>
      <w:pPr>
        <w:framePr w:w="979" w:x="3935" w:y="150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520,713</w:t>
      </w:r>
    </w:p>
    <w:p>
      <w:pPr>
        <w:framePr w:w="874" w:x="5454" w:y="150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50,000</w:t>
      </w:r>
    </w:p>
    <w:p>
      <w:pPr>
        <w:framePr w:w="4645" w:x="6729" w:y="150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7"/>
          <w:sz w:val="21"/>
          <w:szCs w:val="22"/>
          <w:lang w:val="en-US" w:eastAsia="en-US" w:bidi="ar-SA"/>
        </w:rPr>
        <w:t>首发限售及限</w:t>
      </w:r>
      <w:r>
        <w:rPr>
          <w:rFonts w:eastAsiaTheme="minorEastAsia" w:hAnsiTheme="minorHAnsi" w:cstheme="minorBidi"/>
          <w:color w:val="000000"/>
          <w:spacing w:val="146"/>
          <w:sz w:val="21"/>
          <w:szCs w:val="22"/>
          <w:lang w:val="en-US" w:eastAsia="en-US" w:bidi="ar-SA"/>
        </w:rPr>
        <w:t xml:space="preserve"> </w:t>
      </w:r>
      <w:r>
        <w:rPr>
          <w:rFonts w:ascii="SimSun" w:hAnsi="SimSun" w:eastAsiaTheme="minorEastAsia" w:cs="SimSun"/>
          <w:color w:val="000000"/>
          <w:sz w:val="21"/>
          <w:szCs w:val="22"/>
          <w:lang w:val="en-US" w:eastAsia="en-US" w:bidi="ar-SA"/>
        </w:rPr>
        <w:t>首发限售：</w:t>
      </w:r>
      <w:r>
        <w:rPr>
          <w:rFonts w:ascii="SimSun" w:eastAsiaTheme="minorEastAsia" w:hAnsiTheme="minorHAnsi" w:cstheme="minorBidi"/>
          <w:color w:val="000000"/>
          <w:sz w:val="21"/>
          <w:szCs w:val="22"/>
          <w:lang w:val="en-US" w:eastAsia="en-US" w:bidi="ar-SA"/>
        </w:rPr>
        <w:t>2020.5.11</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6" type="#_x0000_t75" style="width:445.6pt;height:2.7pt;margin-top:53.5pt;margin-left:87.45pt;mso-position-horizontal-relative:page;mso-position-vertical-relative:page;position:absolute;z-index:-251301888">
            <v:imagedata r:id="rId96" o:title=""/>
          </v:shape>
        </w:pict>
      </w:r>
      <w:r>
        <w:rPr>
          <w:noProof/>
        </w:rPr>
        <w:pict>
          <v:shape id="_x0000_s1137" type="#_x0000_t75" style="width:534.3pt;height:183.1pt;margin-top:74.3pt;margin-left:31.9pt;mso-position-horizontal-relative:page;mso-position-vertical-relative:page;position:absolute;z-index:-251426816">
            <v:imagedata r:id="rId97" o:title=""/>
          </v:shape>
        </w:pict>
      </w:r>
      <w:r>
        <w:rPr>
          <w:noProof/>
        </w:rPr>
        <w:pict>
          <v:shape id="_x0000_s1138" type="#_x0000_t75" style="width:569.7pt;height:72.7pt;margin-top:693.7pt;margin-left:17.7pt;mso-position-horizontal-relative:page;mso-position-vertical-relative:page;position:absolute;z-index:-251612160">
            <v:imagedata r:id="rId98" o:title=""/>
          </v:shape>
        </w:pict>
      </w:r>
    </w:p>
    <w:p>
      <w:pPr>
        <w:spacing w:line="0" w:lineRule="atLeast"/>
        <w:rPr>
          <w:rFonts w:ascii="Arial" w:eastAsiaTheme="minorEastAsia" w:hAnsiTheme="minorHAnsi" w:cstheme="minorBidi"/>
          <w:color w:val="FF0000"/>
          <w:sz w:val="2"/>
          <w:szCs w:val="22"/>
          <w:lang w:val="en-US" w:eastAsia="en-US" w:bidi="ar-SA"/>
        </w:rPr>
      </w:pPr>
      <w:bookmarkStart w:id="46" w:name="br1_45"/>
      <w:bookmarkEnd w:id="46"/>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4268" w:x="757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制性股票激励</w:t>
      </w:r>
      <w:r>
        <w:rPr>
          <w:rFonts w:eastAsiaTheme="minorEastAsia" w:hAnsiTheme="minorHAnsi" w:cstheme="minorBidi"/>
          <w:color w:val="000000"/>
          <w:spacing w:val="246"/>
          <w:sz w:val="21"/>
          <w:szCs w:val="22"/>
          <w:lang w:val="en-US" w:eastAsia="en-US" w:bidi="ar-SA"/>
        </w:rPr>
        <w:t xml:space="preserve"> </w:t>
      </w:r>
      <w:r>
        <w:rPr>
          <w:rFonts w:ascii="SimSun" w:hAnsi="SimSun" w:eastAsiaTheme="minorEastAsia" w:cs="SimSun"/>
          <w:color w:val="000000"/>
          <w:sz w:val="21"/>
          <w:szCs w:val="22"/>
          <w:lang w:val="en-US" w:eastAsia="en-US" w:bidi="ar-SA"/>
        </w:rPr>
        <w:t>限制性股票激励：详见注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874" w:x="487"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王现国</w:t>
      </w:r>
    </w:p>
    <w:p>
      <w:pPr>
        <w:framePr w:w="979" w:x="2655"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100,831</w:t>
      </w:r>
    </w:p>
    <w:p>
      <w:pPr>
        <w:framePr w:w="979" w:x="2655" w:y="1829"/>
        <w:widowControl w:val="0"/>
        <w:autoSpaceDE w:val="0"/>
        <w:autoSpaceDN w:val="0"/>
        <w:spacing w:before="343"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979" w:x="3935"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100,831</w:t>
      </w:r>
    </w:p>
    <w:p>
      <w:pPr>
        <w:framePr w:w="979" w:x="3935" w:y="1829"/>
        <w:widowControl w:val="0"/>
        <w:autoSpaceDE w:val="0"/>
        <w:autoSpaceDN w:val="0"/>
        <w:spacing w:before="343"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874" w:x="5454"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68,000</w:t>
      </w:r>
    </w:p>
    <w:p>
      <w:pPr>
        <w:framePr w:w="5115" w:x="6729"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68,000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7"/>
          <w:sz w:val="21"/>
          <w:szCs w:val="22"/>
          <w:lang w:val="en-US" w:eastAsia="en-US" w:bidi="ar-SA"/>
        </w:rPr>
        <w:t>首发限售及限</w:t>
      </w:r>
      <w:r>
        <w:rPr>
          <w:rFonts w:eastAsiaTheme="minorEastAsia" w:hAnsiTheme="minorHAnsi" w:cstheme="minorBidi"/>
          <w:color w:val="000000"/>
          <w:spacing w:val="146"/>
          <w:sz w:val="21"/>
          <w:szCs w:val="22"/>
          <w:lang w:val="en-US" w:eastAsia="en-US" w:bidi="ar-SA"/>
        </w:rPr>
        <w:t xml:space="preserve"> </w:t>
      </w:r>
      <w:r>
        <w:rPr>
          <w:rFonts w:ascii="SimSun" w:hAnsi="SimSun" w:eastAsiaTheme="minorEastAsia" w:cs="SimSun"/>
          <w:color w:val="000000"/>
          <w:sz w:val="21"/>
          <w:szCs w:val="22"/>
          <w:lang w:val="en-US" w:eastAsia="en-US" w:bidi="ar-SA"/>
        </w:rPr>
        <w:t>首发限售：</w:t>
      </w:r>
      <w:r>
        <w:rPr>
          <w:rFonts w:ascii="SimSun" w:eastAsiaTheme="minorEastAsia" w:hAnsiTheme="minorHAnsi" w:cstheme="minorBidi"/>
          <w:color w:val="000000"/>
          <w:sz w:val="21"/>
          <w:szCs w:val="22"/>
          <w:lang w:val="en-US" w:eastAsia="en-US" w:bidi="ar-SA"/>
        </w:rPr>
        <w:t>2020.5.11</w:t>
      </w:r>
    </w:p>
    <w:p>
      <w:pPr>
        <w:framePr w:w="5115" w:x="6729" w:y="1829"/>
        <w:widowControl w:val="0"/>
        <w:autoSpaceDE w:val="0"/>
        <w:autoSpaceDN w:val="0"/>
        <w:spacing w:before="62" w:line="211" w:lineRule="exact"/>
        <w:ind w:left="847"/>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制性股票激励</w:t>
      </w:r>
      <w:r>
        <w:rPr>
          <w:rFonts w:eastAsiaTheme="minorEastAsia" w:hAnsiTheme="minorHAnsi" w:cstheme="minorBidi"/>
          <w:color w:val="000000"/>
          <w:spacing w:val="246"/>
          <w:sz w:val="21"/>
          <w:szCs w:val="22"/>
          <w:lang w:val="en-US" w:eastAsia="en-US" w:bidi="ar-SA"/>
        </w:rPr>
        <w:t xml:space="preserve"> </w:t>
      </w:r>
      <w:r>
        <w:rPr>
          <w:rFonts w:ascii="SimSun" w:hAnsi="SimSun" w:eastAsiaTheme="minorEastAsia" w:cs="SimSun"/>
          <w:color w:val="000000"/>
          <w:sz w:val="21"/>
          <w:szCs w:val="22"/>
          <w:lang w:val="en-US" w:eastAsia="en-US" w:bidi="ar-SA"/>
        </w:rPr>
        <w:t>限制性股票激励：详见注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764" w:x="487" w:y="2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eastAsiaTheme="minorEastAsia" w:hAnsiTheme="minorHAnsi" w:cstheme="minorBidi"/>
          <w:color w:val="000000"/>
          <w:spacing w:val="27"/>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限制性</w:t>
      </w:r>
    </w:p>
    <w:p>
      <w:pPr>
        <w:framePr w:w="1764" w:x="487" w:y="238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股票激励计划激</w:t>
      </w:r>
    </w:p>
    <w:p>
      <w:pPr>
        <w:framePr w:w="1764" w:x="487" w:y="238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励对象（</w:t>
      </w:r>
      <w:r>
        <w:rPr>
          <w:rFonts w:ascii="SimSun" w:eastAsiaTheme="minorEastAsia" w:hAnsiTheme="minorHAnsi" w:cstheme="minorBidi"/>
          <w:color w:val="000000"/>
          <w:spacing w:val="-1"/>
          <w:sz w:val="21"/>
          <w:szCs w:val="22"/>
          <w:lang w:val="en-US" w:eastAsia="en-US" w:bidi="ar-SA"/>
        </w:rPr>
        <w:t>32</w:t>
      </w:r>
      <w:r>
        <w:rPr>
          <w:rFonts w:ascii="SimSun" w:hAnsi="SimSun" w:eastAsiaTheme="minorEastAsia" w:cs="SimSun"/>
          <w:color w:val="000000"/>
          <w:spacing w:val="-1"/>
          <w:sz w:val="21"/>
          <w:szCs w:val="22"/>
          <w:lang w:val="en-US" w:eastAsia="en-US" w:bidi="ar-SA"/>
        </w:rPr>
        <w:t>名）</w:t>
      </w:r>
    </w:p>
    <w:p>
      <w:pPr>
        <w:framePr w:w="1764" w:x="487" w:y="2383"/>
        <w:widowControl w:val="0"/>
        <w:autoSpaceDE w:val="0"/>
        <w:autoSpaceDN w:val="0"/>
        <w:spacing w:before="72" w:line="211" w:lineRule="exact"/>
        <w:ind w:left="5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5027" w:x="5139" w:y="2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1,572,000</w:t>
      </w:r>
      <w:r>
        <w:rPr>
          <w:rFonts w:ascii="SimSun" w:eastAsiaTheme="minorEastAsia" w:hAnsiTheme="minorHAnsi" w:cstheme="minorBidi"/>
          <w:color w:val="000000"/>
          <w:spacing w:val="22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1,572,000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7"/>
          <w:sz w:val="21"/>
          <w:szCs w:val="22"/>
          <w:lang w:val="en-US" w:eastAsia="en-US" w:bidi="ar-SA"/>
        </w:rPr>
        <w:t>限制性股票激</w:t>
      </w:r>
      <w:r>
        <w:rPr>
          <w:rFonts w:eastAsiaTheme="minorEastAsia" w:hAnsiTheme="minorHAnsi" w:cstheme="minorBidi"/>
          <w:color w:val="000000"/>
          <w:spacing w:val="147"/>
          <w:sz w:val="21"/>
          <w:szCs w:val="22"/>
          <w:lang w:val="en-US" w:eastAsia="en-US" w:bidi="ar-SA"/>
        </w:rPr>
        <w:t xml:space="preserve"> </w:t>
      </w: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451" w:x="7576" w:y="26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励</w:t>
      </w:r>
    </w:p>
    <w:p>
      <w:pPr>
        <w:framePr w:w="2573" w:x="2338" w:y="32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39,486,257</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39,486,257</w:t>
      </w:r>
    </w:p>
    <w:p>
      <w:pPr>
        <w:framePr w:w="2463" w:x="5139" w:y="32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1,690,000</w:t>
      </w:r>
      <w:r>
        <w:rPr>
          <w:rFonts w:ascii="SimSun" w:eastAsiaTheme="minorEastAsia" w:hAnsiTheme="minorHAnsi" w:cstheme="minorBidi"/>
          <w:color w:val="000000"/>
          <w:spacing w:val="22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1,690,000</w:t>
      </w:r>
    </w:p>
    <w:p>
      <w:pPr>
        <w:framePr w:w="346" w:x="8195" w:y="32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10322" w:y="32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8658" w:x="2218" w:y="36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3"/>
          <w:sz w:val="21"/>
          <w:szCs w:val="22"/>
          <w:lang w:val="en-US" w:eastAsia="en-US" w:bidi="ar-SA"/>
        </w:rPr>
        <w:t>：公司</w:t>
      </w:r>
      <w:r>
        <w:rPr>
          <w:rFonts w:eastAsiaTheme="minorEastAsia" w:hAnsiTheme="minorHAnsi" w:cstheme="minorBidi"/>
          <w:color w:val="000000"/>
          <w:spacing w:val="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年限制性股票激励计划各批次限制性股票的限售期分别为自限制性股票上市</w:t>
      </w:r>
    </w:p>
    <w:p>
      <w:pPr>
        <w:framePr w:w="9078" w:x="1798" w:y="40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之日起</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pacing w:val="1"/>
          <w:sz w:val="21"/>
          <w:szCs w:val="22"/>
          <w:lang w:val="en-US" w:eastAsia="en-US" w:bidi="ar-SA"/>
        </w:rPr>
        <w:t>个月、</w:t>
      </w:r>
      <w:r>
        <w:rPr>
          <w:rFonts w:ascii="SimSun" w:eastAsiaTheme="minorEastAsia" w:hAnsiTheme="minorHAnsi" w:cstheme="minorBidi"/>
          <w:color w:val="000000"/>
          <w:sz w:val="21"/>
          <w:szCs w:val="22"/>
          <w:lang w:val="en-US" w:eastAsia="en-US" w:bidi="ar-SA"/>
        </w:rPr>
        <w:t>24</w:t>
      </w:r>
      <w:r>
        <w:rPr>
          <w:rFonts w:ascii="SimSun" w:hAnsi="SimSun" w:eastAsiaTheme="minorEastAsia" w:cs="SimSun"/>
          <w:color w:val="000000"/>
          <w:spacing w:val="-1"/>
          <w:sz w:val="21"/>
          <w:szCs w:val="22"/>
          <w:lang w:val="en-US" w:eastAsia="en-US" w:bidi="ar-SA"/>
        </w:rPr>
        <w:t>个月和</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36</w:t>
      </w:r>
      <w:r>
        <w:rPr>
          <w:rFonts w:ascii="SimSun" w:hAnsi="SimSun" w:eastAsiaTheme="minorEastAsia" w:cs="SimSun"/>
          <w:color w:val="000000"/>
          <w:spacing w:val="-7"/>
          <w:sz w:val="21"/>
          <w:szCs w:val="22"/>
          <w:lang w:val="en-US" w:eastAsia="en-US" w:bidi="ar-SA"/>
        </w:rPr>
        <w:t>个月。具体内容详见公司于</w:t>
      </w:r>
      <w:r>
        <w:rPr>
          <w:rFonts w:eastAsiaTheme="minorEastAsia" w:hAnsiTheme="minorHAnsi" w:cstheme="minorBidi"/>
          <w:color w:val="000000"/>
          <w:spacing w:val="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w:t>
      </w:r>
      <w:r>
        <w:rPr>
          <w:rFonts w:ascii="SimSun" w:hAnsi="SimSun" w:eastAsiaTheme="minorEastAsia" w:cs="SimSun"/>
          <w:color w:val="000000"/>
          <w:spacing w:val="-7"/>
          <w:sz w:val="21"/>
          <w:szCs w:val="22"/>
          <w:lang w:val="en-US" w:eastAsia="en-US" w:bidi="ar-SA"/>
        </w:rPr>
        <w:t>日在上交所网披露的《关</w:t>
      </w:r>
    </w:p>
    <w:p>
      <w:pPr>
        <w:framePr w:w="9078" w:x="1798" w:y="402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年限制性股票激励计划授予结果的公告》（公告编号：</w:t>
      </w:r>
      <w:r>
        <w:rPr>
          <w:rFonts w:ascii="SimSun" w:eastAsiaTheme="minorEastAsia" w:hAnsiTheme="minorHAnsi" w:cstheme="minorBidi"/>
          <w:color w:val="000000"/>
          <w:sz w:val="21"/>
          <w:szCs w:val="22"/>
          <w:lang w:val="en-US" w:eastAsia="en-US" w:bidi="ar-SA"/>
        </w:rPr>
        <w:t>2020-052</w:t>
      </w:r>
      <w:r>
        <w:rPr>
          <w:rFonts w:ascii="SimSun" w:hAnsi="SimSun" w:eastAsiaTheme="minorEastAsia" w:cs="SimSun"/>
          <w:color w:val="000000"/>
          <w:spacing w:val="1"/>
          <w:sz w:val="21"/>
          <w:szCs w:val="22"/>
          <w:lang w:val="en-US" w:eastAsia="en-US" w:bidi="ar-SA"/>
        </w:rPr>
        <w:t>）。</w:t>
      </w:r>
    </w:p>
    <w:p>
      <w:pPr>
        <w:framePr w:w="2592" w:x="1798" w:y="49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二、证券发行与上市情况</w:t>
      </w:r>
    </w:p>
    <w:p>
      <w:pPr>
        <w:framePr w:w="3197" w:x="1798" w:y="54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pacing w:val="3"/>
          <w:sz w:val="21"/>
          <w:szCs w:val="22"/>
          <w:lang w:val="en-US" w:eastAsia="en-US" w:bidi="ar-SA"/>
        </w:rPr>
        <w:t>)</w:t>
      </w:r>
      <w:r>
        <w:rPr>
          <w:rFonts w:ascii="SimSun" w:hAnsi="SimSun" w:eastAsiaTheme="minorEastAsia" w:cs="SimSun"/>
          <w:color w:val="000000"/>
          <w:spacing w:val="1"/>
          <w:sz w:val="21"/>
          <w:szCs w:val="22"/>
          <w:lang w:val="en-US" w:eastAsia="en-US" w:bidi="ar-SA"/>
        </w:rPr>
        <w:t>截至报告期内证券发行情况</w:t>
      </w:r>
    </w:p>
    <w:p>
      <w:pPr>
        <w:framePr w:w="1817" w:x="1798" w:y="6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632" w:x="1798" w:y="65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截至报告期内证券发行情况的说明（存续期内利率不同的债券，请分别说明）：</w:t>
      </w:r>
    </w:p>
    <w:p>
      <w:pPr>
        <w:framePr w:w="1922" w:x="1798" w:y="70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210" w:x="1798" w:y="76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pacing w:val="3"/>
          <w:sz w:val="21"/>
          <w:szCs w:val="22"/>
          <w:lang w:val="en-US" w:eastAsia="en-US" w:bidi="ar-SA"/>
        </w:rPr>
        <w:t>)</w:t>
      </w:r>
      <w:r>
        <w:rPr>
          <w:rFonts w:ascii="SimSun" w:hAnsi="SimSun" w:eastAsiaTheme="minorEastAsia" w:cs="SimSun"/>
          <w:color w:val="000000"/>
          <w:spacing w:val="1"/>
          <w:sz w:val="21"/>
          <w:szCs w:val="22"/>
          <w:lang w:val="en-US" w:eastAsia="en-US" w:bidi="ar-SA"/>
        </w:rPr>
        <w:t>公司普通股股份总数及股东结构变动及公司资产和负债结构的变动情况</w:t>
      </w:r>
    </w:p>
    <w:p>
      <w:pPr>
        <w:framePr w:w="1922" w:x="1798" w:y="8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86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三</w:t>
      </w:r>
      <w:r>
        <w:rPr>
          <w:rFonts w:ascii="SimSun" w:eastAsiaTheme="minorEastAsia" w:hAnsiTheme="minorHAnsi" w:cstheme="minorBidi"/>
          <w:color w:val="000000"/>
          <w:spacing w:val="3"/>
          <w:sz w:val="21"/>
          <w:szCs w:val="22"/>
          <w:lang w:val="en-US" w:eastAsia="en-US" w:bidi="ar-SA"/>
        </w:rPr>
        <w:t>)</w:t>
      </w:r>
      <w:r>
        <w:rPr>
          <w:rFonts w:ascii="SimSun" w:hAnsi="SimSun" w:eastAsiaTheme="minorEastAsia" w:cs="SimSun"/>
          <w:color w:val="000000"/>
          <w:spacing w:val="1"/>
          <w:sz w:val="21"/>
          <w:szCs w:val="22"/>
          <w:lang w:val="en-US" w:eastAsia="en-US" w:bidi="ar-SA"/>
        </w:rPr>
        <w:t>现存的内部职工股情况</w:t>
      </w:r>
    </w:p>
    <w:p>
      <w:pPr>
        <w:framePr w:w="2774" w:x="1798" w:y="865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801" w:x="1798" w:y="97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三、股东和实际控制人情况</w:t>
      </w:r>
    </w:p>
    <w:p>
      <w:pPr>
        <w:framePr w:w="2801" w:x="1798" w:y="9716"/>
        <w:widowControl w:val="0"/>
        <w:autoSpaceDE w:val="0"/>
        <w:autoSpaceDN w:val="0"/>
        <w:spacing w:before="297"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股东总数</w:t>
      </w:r>
    </w:p>
    <w:p>
      <w:pPr>
        <w:framePr w:w="3408" w:x="1479" w:y="107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截止报告期末普通股股东总数</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户</w:t>
      </w:r>
      <w:r>
        <w:rPr>
          <w:rFonts w:ascii="SimSun" w:eastAsiaTheme="minorEastAsia" w:hAnsiTheme="minorHAnsi" w:cstheme="minorBidi"/>
          <w:color w:val="000000"/>
          <w:sz w:val="21"/>
          <w:szCs w:val="22"/>
          <w:lang w:val="en-US" w:eastAsia="en-US" w:bidi="ar-SA"/>
        </w:rPr>
        <w:t>)</w:t>
      </w:r>
    </w:p>
    <w:p>
      <w:pPr>
        <w:framePr w:w="768" w:x="10106" w:y="107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8,110</w:t>
      </w:r>
    </w:p>
    <w:p>
      <w:pPr>
        <w:framePr w:w="4886" w:x="1479" w:y="109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年度报告披露日前上一月末的普通股股东总数</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户</w:t>
      </w:r>
      <w:r>
        <w:rPr>
          <w:rFonts w:ascii="SimSun" w:eastAsiaTheme="minorEastAsia" w:hAnsiTheme="minorHAnsi" w:cstheme="minorBidi"/>
          <w:color w:val="000000"/>
          <w:sz w:val="21"/>
          <w:szCs w:val="22"/>
          <w:lang w:val="en-US" w:eastAsia="en-US" w:bidi="ar-SA"/>
        </w:rPr>
        <w:t>)</w:t>
      </w:r>
    </w:p>
    <w:p>
      <w:pPr>
        <w:framePr w:w="4886" w:x="1479" w:y="109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截止报告期末表决权恢复的优先股股东总数（户）</w:t>
      </w:r>
    </w:p>
    <w:p>
      <w:pPr>
        <w:framePr w:w="4886" w:x="1479" w:y="109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年度报告披露日前上一月末表决权恢复的优先股股</w:t>
      </w:r>
    </w:p>
    <w:p>
      <w:pPr>
        <w:framePr w:w="4886" w:x="1479" w:y="1099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东总数（户）</w:t>
      </w:r>
    </w:p>
    <w:p>
      <w:pPr>
        <w:framePr w:w="768" w:x="10106" w:y="109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9,217</w:t>
      </w:r>
    </w:p>
    <w:p>
      <w:pPr>
        <w:framePr w:w="346" w:x="10526" w:y="112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0526" w:y="1127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7834" w:x="1798" w:y="1248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截止报告期末前十名股东、前十名流通股东（或无限售条件股东）持股情况表</w:t>
      </w:r>
    </w:p>
    <w:p>
      <w:pPr>
        <w:framePr w:w="979" w:x="9897" w:y="13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股</w:t>
      </w:r>
    </w:p>
    <w:p>
      <w:pPr>
        <w:framePr w:w="2141" w:x="5034" w:y="133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前十名股东持股情况</w:t>
      </w:r>
    </w:p>
    <w:p>
      <w:pPr>
        <w:framePr w:w="2643" w:x="7648" w:y="136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持有有</w:t>
      </w:r>
      <w:r>
        <w:rPr>
          <w:rFonts w:eastAsiaTheme="minorEastAsia" w:hAnsiTheme="minorHAnsi" w:cstheme="minorBidi"/>
          <w:color w:val="000000"/>
          <w:spacing w:val="243"/>
          <w:sz w:val="21"/>
          <w:szCs w:val="22"/>
          <w:lang w:val="en-US" w:eastAsia="en-US" w:bidi="ar-SA"/>
        </w:rPr>
        <w:t xml:space="preserve"> </w:t>
      </w:r>
      <w:r>
        <w:rPr>
          <w:rFonts w:ascii="SimSun" w:hAnsi="SimSun" w:eastAsiaTheme="minorEastAsia" w:cs="SimSun"/>
          <w:color w:val="000000"/>
          <w:sz w:val="21"/>
          <w:szCs w:val="22"/>
          <w:lang w:val="en-US" w:eastAsia="en-US" w:bidi="ar-SA"/>
        </w:rPr>
        <w:t>质押或冻结情况</w:t>
      </w:r>
    </w:p>
    <w:p>
      <w:pPr>
        <w:framePr w:w="1085" w:x="1731" w:y="13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股东名称</w:t>
      </w:r>
    </w:p>
    <w:p>
      <w:pPr>
        <w:framePr w:w="1085" w:x="1731" w:y="138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（全称）</w:t>
      </w:r>
    </w:p>
    <w:p>
      <w:pPr>
        <w:framePr w:w="1296" w:x="3896" w:y="13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报告期内增</w:t>
      </w:r>
    </w:p>
    <w:p>
      <w:pPr>
        <w:framePr w:w="1296" w:x="3896" w:y="13873"/>
        <w:widowControl w:val="0"/>
        <w:autoSpaceDE w:val="0"/>
        <w:autoSpaceDN w:val="0"/>
        <w:spacing w:before="6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w:t>
      </w:r>
    </w:p>
    <w:p>
      <w:pPr>
        <w:framePr w:w="662" w:x="6832" w:y="13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874" w:x="7648" w:y="13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限售条</w:t>
      </w:r>
    </w:p>
    <w:p>
      <w:pPr>
        <w:framePr w:w="662" w:x="10591" w:y="13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股东</w:t>
      </w:r>
    </w:p>
    <w:p>
      <w:pPr>
        <w:framePr w:w="662" w:x="10591" w:y="138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性质</w:t>
      </w:r>
    </w:p>
    <w:p>
      <w:pPr>
        <w:framePr w:w="1507" w:x="5209" w:y="140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期末持股数量</w:t>
      </w:r>
    </w:p>
    <w:p>
      <w:pPr>
        <w:framePr w:w="662" w:x="8605" w:y="1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p>
    <w:p>
      <w:pPr>
        <w:framePr w:w="662" w:x="8605" w:y="140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状态</w:t>
      </w:r>
    </w:p>
    <w:p>
      <w:pPr>
        <w:framePr w:w="557" w:x="6885" w:y="141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874" w:x="7648" w:y="141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件股份</w:t>
      </w:r>
    </w:p>
    <w:p>
      <w:pPr>
        <w:framePr w:w="874" w:x="7648" w:y="14147"/>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662" w:x="9456" w:y="141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874" w:x="629" w:y="147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874" w:x="629" w:y="1470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陈鸣宇</w:t>
      </w:r>
    </w:p>
    <w:p>
      <w:pPr>
        <w:framePr w:w="1296" w:x="3901" w:y="147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15,014,883</w:t>
      </w:r>
    </w:p>
    <w:p>
      <w:pPr>
        <w:framePr w:w="1296" w:x="3901" w:y="1470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21,532,720</w:t>
      </w:r>
    </w:p>
    <w:p>
      <w:pPr>
        <w:framePr w:w="2141" w:x="5461" w:y="147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52,552,091</w:t>
      </w:r>
      <w:r>
        <w:rPr>
          <w:rFonts w:ascii="SimSun" w:eastAsiaTheme="minorEastAsia" w:hAnsiTheme="minorHAnsi" w:cstheme="minorBidi"/>
          <w:color w:val="000000"/>
          <w:spacing w:val="21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33.16</w:t>
      </w:r>
    </w:p>
    <w:p>
      <w:pPr>
        <w:framePr w:w="2141" w:x="5461" w:y="1470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23,606,020</w:t>
      </w:r>
      <w:r>
        <w:rPr>
          <w:rFonts w:ascii="SimSun" w:eastAsiaTheme="minorEastAsia" w:hAnsiTheme="minorHAnsi" w:cstheme="minorBidi"/>
          <w:color w:val="000000"/>
          <w:spacing w:val="21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14.89</w:t>
      </w:r>
    </w:p>
    <w:p>
      <w:pPr>
        <w:framePr w:w="451" w:x="8709" w:y="147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451" w:x="8709" w:y="1470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296" w:x="10272" w:y="147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1296" w:x="10272" w:y="1470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9" type="#_x0000_t75" style="width:445.6pt;height:2.7pt;margin-top:53.5pt;margin-left:87.45pt;mso-position-horizontal-relative:page;mso-position-vertical-relative:page;position:absolute;z-index:-251219968">
            <v:imagedata r:id="rId99" o:title=""/>
          </v:shape>
        </w:pict>
      </w:r>
      <w:r>
        <w:rPr>
          <w:noProof/>
        </w:rPr>
        <w:pict>
          <v:shape id="_x0000_s1140" type="#_x0000_t75" style="width:569.7pt;height:99.95pt;margin-top:74.3pt;margin-left:17.7pt;mso-position-horizontal-relative:page;mso-position-vertical-relative:page;position:absolute;z-index:-251300864">
            <v:imagedata r:id="rId100" o:title=""/>
          </v:shape>
        </w:pict>
      </w:r>
      <w:r>
        <w:rPr>
          <w:noProof/>
        </w:rPr>
        <w:pict>
          <v:shape id="_x0000_s1141" type="#_x0000_t75" style="width:470.9pt;height:72.7pt;margin-top:532.65pt;margin-left:67.3pt;mso-position-horizontal-relative:page;mso-position-vertical-relative:page;position:absolute;z-index:-251425792">
            <v:imagedata r:id="rId101" o:title=""/>
          </v:shape>
        </w:pict>
      </w:r>
      <w:r>
        <w:rPr>
          <w:noProof/>
        </w:rPr>
        <w:pict>
          <v:shape id="_x0000_s1142" type="#_x0000_t75" style="width:548.35pt;height:99.8pt;margin-top:663pt;margin-left:24.8pt;mso-position-horizontal-relative:page;mso-position-vertical-relative:page;position:absolute;z-index:-251611136">
            <v:imagedata r:id="rId102" o:title=""/>
          </v:shape>
        </w:pict>
      </w:r>
    </w:p>
    <w:p>
      <w:pPr>
        <w:spacing w:line="0" w:lineRule="atLeast"/>
        <w:rPr>
          <w:rFonts w:ascii="Arial" w:eastAsiaTheme="minorEastAsia" w:hAnsiTheme="minorHAnsi" w:cstheme="minorBidi"/>
          <w:color w:val="FF0000"/>
          <w:sz w:val="2"/>
          <w:szCs w:val="22"/>
          <w:lang w:val="en-US" w:eastAsia="en-US" w:bidi="ar-SA"/>
        </w:rPr>
      </w:pPr>
      <w:bookmarkStart w:id="47" w:name="br1_46"/>
      <w:bookmarkEnd w:id="47"/>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62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李壮</w:t>
      </w:r>
    </w:p>
    <w:p>
      <w:pPr>
        <w:framePr w:w="1190" w:x="4007"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1,062,264</w:t>
      </w:r>
    </w:p>
    <w:p>
      <w:pPr>
        <w:framePr w:w="1190" w:x="4007"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3,169,800</w:t>
      </w:r>
    </w:p>
    <w:p>
      <w:pPr>
        <w:framePr w:w="1190" w:x="5567"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3,717,923</w:t>
      </w:r>
    </w:p>
    <w:p>
      <w:pPr>
        <w:framePr w:w="1190" w:x="5567"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3,169,800</w:t>
      </w:r>
    </w:p>
    <w:p>
      <w:pPr>
        <w:framePr w:w="662" w:x="6940"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2.35</w:t>
      </w:r>
    </w:p>
    <w:p>
      <w:pPr>
        <w:framePr w:w="662" w:x="6940"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2.00</w:t>
      </w:r>
    </w:p>
    <w:p>
      <w:pPr>
        <w:framePr w:w="451" w:x="870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296" w:x="10272"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1296" w:x="10272"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3132" w:x="629"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建信基金－陈绪潇－建信鑫享</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w:t>
      </w:r>
    </w:p>
    <w:p>
      <w:pPr>
        <w:framePr w:w="3132" w:x="629" w:y="182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号单一资产管理计划</w:t>
      </w:r>
    </w:p>
    <w:p>
      <w:pPr>
        <w:framePr w:w="3132" w:x="629"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陈绪潇</w:t>
      </w:r>
    </w:p>
    <w:p>
      <w:pPr>
        <w:framePr w:w="662" w:x="8605" w:y="1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1296" w:x="3901" w:y="2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-17,750,45</w:t>
      </w:r>
    </w:p>
    <w:p>
      <w:pPr>
        <w:framePr w:w="1296" w:x="3901" w:y="2383"/>
        <w:widowControl w:val="0"/>
        <w:autoSpaceDE w:val="0"/>
        <w:autoSpaceDN w:val="0"/>
        <w:spacing w:before="62" w:line="211" w:lineRule="exact"/>
        <w:ind w:left="94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1190" w:x="5567" w:y="2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2,952,981</w:t>
      </w:r>
    </w:p>
    <w:p>
      <w:pPr>
        <w:framePr w:w="1190" w:x="5567" w:y="2383"/>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2,429,752</w:t>
      </w:r>
    </w:p>
    <w:p>
      <w:pPr>
        <w:framePr w:w="1190" w:x="5567" w:y="2383"/>
        <w:widowControl w:val="0"/>
        <w:autoSpaceDE w:val="0"/>
        <w:autoSpaceDN w:val="0"/>
        <w:spacing w:before="34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2,373,160</w:t>
      </w:r>
    </w:p>
    <w:p>
      <w:pPr>
        <w:framePr w:w="662" w:x="6940" w:y="2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1.86</w:t>
      </w:r>
    </w:p>
    <w:p>
      <w:pPr>
        <w:framePr w:w="662" w:x="6940" w:y="2383"/>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1.53</w:t>
      </w:r>
    </w:p>
    <w:p>
      <w:pPr>
        <w:framePr w:w="662" w:x="6940" w:y="2383"/>
        <w:widowControl w:val="0"/>
        <w:autoSpaceDE w:val="0"/>
        <w:autoSpaceDN w:val="0"/>
        <w:spacing w:before="34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1.50</w:t>
      </w:r>
    </w:p>
    <w:p>
      <w:pPr>
        <w:framePr w:w="2244" w:x="9321" w:y="2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205,971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境内自然人</w:t>
      </w:r>
    </w:p>
    <w:p>
      <w:pPr>
        <w:framePr w:w="662" w:x="8605" w:y="25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662" w:x="8605" w:y="2520"/>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662" w:x="8605" w:y="2520"/>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3197" w:x="629" w:y="2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中国工商银行股份有限公司－国</w:t>
      </w:r>
    </w:p>
    <w:p>
      <w:pPr>
        <w:framePr w:w="3197" w:x="629" w:y="293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泰鑫睿混合型证券投资基金</w:t>
      </w:r>
    </w:p>
    <w:p>
      <w:pPr>
        <w:framePr w:w="3197" w:x="629" w:y="293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中国工商银行股份有限公司－国</w:t>
      </w:r>
    </w:p>
    <w:p>
      <w:pPr>
        <w:framePr w:w="3197" w:x="629" w:y="293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泰金泰平衡混合型证券投资基金</w:t>
      </w:r>
    </w:p>
    <w:p>
      <w:pPr>
        <w:framePr w:w="3197" w:x="629" w:y="293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王萍</w:t>
      </w:r>
    </w:p>
    <w:p>
      <w:pPr>
        <w:framePr w:w="1190" w:x="4007" w:y="29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2,429,752</w:t>
      </w:r>
    </w:p>
    <w:p>
      <w:pPr>
        <w:framePr w:w="662" w:x="10272" w:y="2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10272" w:y="2937"/>
        <w:widowControl w:val="0"/>
        <w:autoSpaceDE w:val="0"/>
        <w:autoSpaceDN w:val="0"/>
        <w:spacing w:before="34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190" w:x="4007" w:y="349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2,373,160</w:t>
      </w:r>
    </w:p>
    <w:p>
      <w:pPr>
        <w:framePr w:w="979" w:x="4218" w:y="40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713,000</w:t>
      </w:r>
    </w:p>
    <w:p>
      <w:pPr>
        <w:framePr w:w="979" w:x="4218" w:y="404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604,766</w:t>
      </w:r>
    </w:p>
    <w:p>
      <w:pPr>
        <w:framePr w:w="1190" w:x="5567" w:y="40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2,255,000</w:t>
      </w:r>
    </w:p>
    <w:p>
      <w:pPr>
        <w:framePr w:w="1190" w:x="5567" w:y="404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2,116,682</w:t>
      </w:r>
    </w:p>
    <w:p>
      <w:pPr>
        <w:framePr w:w="1190" w:x="5567" w:y="404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w:t>
      </w:r>
    </w:p>
    <w:p>
      <w:pPr>
        <w:framePr w:w="662" w:x="6940" w:y="40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1.42</w:t>
      </w:r>
    </w:p>
    <w:p>
      <w:pPr>
        <w:framePr w:w="662" w:x="6940" w:y="404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1.34</w:t>
      </w:r>
    </w:p>
    <w:p>
      <w:pPr>
        <w:framePr w:w="662" w:x="6940" w:y="404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1.26</w:t>
      </w:r>
    </w:p>
    <w:p>
      <w:pPr>
        <w:framePr w:w="662" w:x="8605" w:y="40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662" w:x="8605" w:y="4049"/>
        <w:widowControl w:val="0"/>
        <w:autoSpaceDE w:val="0"/>
        <w:autoSpaceDN w:val="0"/>
        <w:spacing w:before="70" w:line="211" w:lineRule="exact"/>
        <w:ind w:left="10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662" w:x="10272" w:y="40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874" w:x="629" w:y="43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贾玉玲</w:t>
      </w:r>
    </w:p>
    <w:p>
      <w:pPr>
        <w:framePr w:w="1296" w:x="10272" w:y="43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1296" w:x="10272" w:y="43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3197" w:x="629" w:y="46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中国建设银行股份有限公司－国</w:t>
      </w:r>
    </w:p>
    <w:p>
      <w:pPr>
        <w:framePr w:w="3197" w:x="629" w:y="461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泰大农业股票型证券投资基金</w:t>
      </w:r>
    </w:p>
    <w:p>
      <w:pPr>
        <w:framePr w:w="1190" w:x="4007" w:y="46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w:t>
      </w:r>
    </w:p>
    <w:p>
      <w:pPr>
        <w:framePr w:w="662" w:x="8605" w:y="47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4081" w:x="4508" w:y="51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前十名无限售条件股东持股情况</w:t>
      </w:r>
    </w:p>
    <w:p>
      <w:pPr>
        <w:framePr w:w="4081" w:x="4508" w:y="5168"/>
        <w:widowControl w:val="0"/>
        <w:autoSpaceDE w:val="0"/>
        <w:autoSpaceDN w:val="0"/>
        <w:spacing w:before="77" w:line="211" w:lineRule="exact"/>
        <w:ind w:left="236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持有无限售条件</w:t>
      </w:r>
    </w:p>
    <w:p>
      <w:pPr>
        <w:framePr w:w="4081" w:x="4508" w:y="5168"/>
        <w:widowControl w:val="0"/>
        <w:autoSpaceDE w:val="0"/>
        <w:autoSpaceDN w:val="0"/>
        <w:spacing w:before="60" w:line="211" w:lineRule="exact"/>
        <w:ind w:left="247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流通股的数量</w:t>
      </w:r>
    </w:p>
    <w:p>
      <w:pPr>
        <w:framePr w:w="1718" w:x="9213" w:y="54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股份种类及数量</w:t>
      </w:r>
    </w:p>
    <w:p>
      <w:pPr>
        <w:framePr w:w="1085" w:x="3219" w:y="55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股东名称</w:t>
      </w:r>
    </w:p>
    <w:p>
      <w:pPr>
        <w:framePr w:w="662" w:x="9014" w:y="57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种类</w:t>
      </w:r>
    </w:p>
    <w:p>
      <w:pPr>
        <w:framePr w:w="662" w:x="10502" w:y="57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874" w:x="629" w:y="6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2794" w:x="7302" w:y="6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52,552,091</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794" w:x="7302" w:y="601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23,606,020</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794" w:x="7302" w:y="6015"/>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3,717,923</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794" w:x="7302" w:y="6015"/>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3,169,800</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794" w:x="7302" w:y="6015"/>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2,952,981</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794" w:x="7302" w:y="6015"/>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2,429,752</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794" w:x="7302" w:y="6015"/>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2,373,160</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794" w:x="7302" w:y="6015"/>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2,255,000</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794" w:x="7302" w:y="6015"/>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2,116,682</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794" w:x="7302" w:y="6015"/>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w:t>
      </w:r>
      <w:r>
        <w:rPr>
          <w:rFonts w:ascii="SimSun"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1296" w:x="10279" w:y="60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52,552,091</w:t>
      </w:r>
    </w:p>
    <w:p>
      <w:pPr>
        <w:framePr w:w="1296" w:x="10279" w:y="601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23,606,020</w:t>
      </w:r>
    </w:p>
    <w:p>
      <w:pPr>
        <w:framePr w:w="1296" w:x="10279" w:y="6015"/>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3,717,923</w:t>
      </w:r>
    </w:p>
    <w:p>
      <w:pPr>
        <w:framePr w:w="1296" w:x="10279" w:y="601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3,169,800</w:t>
      </w:r>
    </w:p>
    <w:p>
      <w:pPr>
        <w:framePr w:w="1296" w:x="10279" w:y="601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2,952,981</w:t>
      </w:r>
    </w:p>
    <w:p>
      <w:pPr>
        <w:framePr w:w="1296" w:x="10279" w:y="6015"/>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2,429,752</w:t>
      </w:r>
    </w:p>
    <w:p>
      <w:pPr>
        <w:framePr w:w="1296" w:x="10279" w:y="601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2,373,160</w:t>
      </w:r>
    </w:p>
    <w:p>
      <w:pPr>
        <w:framePr w:w="1296" w:x="10279" w:y="601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2,255,000</w:t>
      </w:r>
    </w:p>
    <w:p>
      <w:pPr>
        <w:framePr w:w="1296" w:x="10279" w:y="6015"/>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2,116,682</w:t>
      </w:r>
    </w:p>
    <w:p>
      <w:pPr>
        <w:framePr w:w="1296" w:x="10279" w:y="601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w:t>
      </w:r>
    </w:p>
    <w:p>
      <w:pPr>
        <w:framePr w:w="874" w:x="629" w:y="62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陈鸣宇</w:t>
      </w:r>
    </w:p>
    <w:p>
      <w:pPr>
        <w:framePr w:w="662" w:x="629" w:y="65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李壮</w:t>
      </w:r>
    </w:p>
    <w:p>
      <w:pPr>
        <w:framePr w:w="5074" w:x="629" w:y="68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建信基金－陈绪潇－建信鑫享</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号单一资产管理计划</w:t>
      </w:r>
    </w:p>
    <w:p>
      <w:pPr>
        <w:framePr w:w="874" w:x="629" w:y="71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陈绪潇</w:t>
      </w:r>
    </w:p>
    <w:p>
      <w:pPr>
        <w:framePr w:w="6154" w:x="629" w:y="74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中国工商银行股份有限公司－国泰鑫睿混合型证券投资基金</w:t>
      </w:r>
    </w:p>
    <w:p>
      <w:pPr>
        <w:framePr w:w="6154" w:x="629" w:y="742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中国工商银行股份有限公司－国泰金泰平衡混合型证券投资基金</w:t>
      </w:r>
    </w:p>
    <w:p>
      <w:pPr>
        <w:framePr w:w="6154" w:x="629" w:y="742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王萍</w:t>
      </w:r>
    </w:p>
    <w:p>
      <w:pPr>
        <w:framePr w:w="874" w:x="629" w:y="82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贾玉玲</w:t>
      </w:r>
    </w:p>
    <w:p>
      <w:pPr>
        <w:framePr w:w="5942" w:x="629" w:y="8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中国建设银行股份有限公司－国泰大农业股票型证券投资基金</w:t>
      </w:r>
    </w:p>
    <w:p>
      <w:pPr>
        <w:framePr w:w="5942" w:x="629" w:y="855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上述股东关联关系或一致行动的说明</w:t>
      </w:r>
    </w:p>
    <w:p>
      <w:pPr>
        <w:framePr w:w="4675" w:x="6868" w:y="88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上述股东中，陈鸣宇与贾玉玲为母子关系、建信</w:t>
      </w:r>
    </w:p>
    <w:p>
      <w:pPr>
        <w:framePr w:w="4675" w:x="6868" w:y="883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基金－陈绪潇－建信鑫享</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号单一资产管理计划</w:t>
      </w:r>
    </w:p>
    <w:p>
      <w:pPr>
        <w:framePr w:w="4675" w:x="6868" w:y="883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与陈绪潇为一致行动人。除上述关联关系外，公</w:t>
      </w:r>
    </w:p>
    <w:p>
      <w:pPr>
        <w:framePr w:w="4675" w:x="6868" w:y="883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司未知其他股东是否存在关联关系或一致行动关</w:t>
      </w:r>
    </w:p>
    <w:p>
      <w:pPr>
        <w:framePr w:w="4675" w:x="6868" w:y="883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系。</w:t>
      </w:r>
    </w:p>
    <w:p>
      <w:pPr>
        <w:framePr w:w="4253" w:x="629" w:y="102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表决权恢复的优先股股东及持股数量的说明</w:t>
      </w:r>
    </w:p>
    <w:p>
      <w:pPr>
        <w:framePr w:w="874" w:x="6868" w:y="102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4253" w:x="1798" w:y="10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前十名有限售条件股东持股数量及限售条件</w:t>
      </w:r>
    </w:p>
    <w:p>
      <w:pPr>
        <w:framePr w:w="4253" w:x="1798" w:y="1076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25" w:x="7449" w:y="11309"/>
        <w:widowControl w:val="0"/>
        <w:autoSpaceDE w:val="0"/>
        <w:autoSpaceDN w:val="0"/>
        <w:spacing w:line="211" w:lineRule="exact"/>
        <w:ind w:left="234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单位：股</w:t>
      </w:r>
    </w:p>
    <w:p>
      <w:pPr>
        <w:framePr w:w="3425" w:x="7449" w:y="1130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有限售条件股份可上市</w:t>
      </w:r>
    </w:p>
    <w:p>
      <w:pPr>
        <w:framePr w:w="3425" w:x="7449" w:y="11309"/>
        <w:widowControl w:val="0"/>
        <w:autoSpaceDE w:val="0"/>
        <w:autoSpaceDN w:val="0"/>
        <w:spacing w:before="6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交易情况</w:t>
      </w:r>
    </w:p>
    <w:p>
      <w:pPr>
        <w:framePr w:w="1507" w:x="5852" w:y="120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持有的有限售</w:t>
      </w:r>
    </w:p>
    <w:p>
      <w:pPr>
        <w:framePr w:w="1507" w:x="5852" w:y="12005"/>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条件股份数量</w:t>
      </w:r>
    </w:p>
    <w:p>
      <w:pPr>
        <w:framePr w:w="662" w:x="1805" w:y="12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p>
    <w:p>
      <w:pPr>
        <w:framePr w:w="2141" w:x="3053" w:y="12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有限售条件股东名称</w:t>
      </w:r>
    </w:p>
    <w:p>
      <w:pPr>
        <w:framePr w:w="1085" w:x="8680" w:y="121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新增可上</w:t>
      </w:r>
    </w:p>
    <w:p>
      <w:pPr>
        <w:framePr w:w="1085" w:x="8680" w:y="12147"/>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市交易股</w:t>
      </w:r>
    </w:p>
    <w:p>
      <w:pPr>
        <w:framePr w:w="1085" w:x="8680" w:y="12147"/>
        <w:widowControl w:val="0"/>
        <w:autoSpaceDE w:val="0"/>
        <w:autoSpaceDN w:val="0"/>
        <w:spacing w:before="62" w:line="211" w:lineRule="exact"/>
        <w:ind w:left="10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份数量</w:t>
      </w:r>
    </w:p>
    <w:p>
      <w:pPr>
        <w:framePr w:w="1085" w:x="9936" w:y="12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限售条件</w:t>
      </w:r>
    </w:p>
    <w:p>
      <w:pPr>
        <w:framePr w:w="1085" w:x="7485" w:y="122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可上市交</w:t>
      </w:r>
    </w:p>
    <w:p>
      <w:pPr>
        <w:framePr w:w="1085" w:x="7485" w:y="12284"/>
        <w:widowControl w:val="0"/>
        <w:autoSpaceDE w:val="0"/>
        <w:autoSpaceDN w:val="0"/>
        <w:spacing w:before="60" w:line="211" w:lineRule="exact"/>
        <w:ind w:left="10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易时间</w:t>
      </w:r>
    </w:p>
    <w:p>
      <w:pPr>
        <w:framePr w:w="346" w:x="1798" w:y="129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1798"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1798"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346" w:x="1798"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346" w:x="1798"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1798"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662" w:x="2448" w:y="129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门亮</w:t>
      </w:r>
    </w:p>
    <w:p>
      <w:pPr>
        <w:framePr w:w="979" w:x="6460" w:y="129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w:t>
      </w:r>
    </w:p>
    <w:p>
      <w:pPr>
        <w:framePr w:w="979" w:x="6460"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140,000</w:t>
      </w:r>
    </w:p>
    <w:p>
      <w:pPr>
        <w:framePr w:w="979" w:x="6460"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w:t>
      </w:r>
    </w:p>
    <w:p>
      <w:pPr>
        <w:framePr w:w="979" w:x="6460"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w:t>
      </w:r>
    </w:p>
    <w:p>
      <w:pPr>
        <w:framePr w:w="979" w:x="6460" w:y="12973"/>
        <w:widowControl w:val="0"/>
        <w:autoSpaceDE w:val="0"/>
        <w:autoSpaceDN w:val="0"/>
        <w:spacing w:before="144"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80,000</w:t>
      </w:r>
    </w:p>
    <w:p>
      <w:pPr>
        <w:framePr w:w="1030" w:x="9806" w:y="129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030" w:x="9806"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030" w:x="9806"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030" w:x="9806"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030" w:x="9806"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030" w:x="9806" w:y="1297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874" w:x="2448" w:y="133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张建国</w:t>
      </w:r>
    </w:p>
    <w:p>
      <w:pPr>
        <w:framePr w:w="874" w:x="2448" w:y="13328"/>
        <w:widowControl w:val="0"/>
        <w:autoSpaceDE w:val="0"/>
        <w:autoSpaceDN w:val="0"/>
        <w:spacing w:before="1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刘相水</w:t>
      </w:r>
    </w:p>
    <w:p>
      <w:pPr>
        <w:framePr w:w="874" w:x="2448" w:y="13328"/>
        <w:widowControl w:val="0"/>
        <w:autoSpaceDE w:val="0"/>
        <w:autoSpaceDN w:val="0"/>
        <w:spacing w:before="1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姚长明</w:t>
      </w:r>
    </w:p>
    <w:p>
      <w:pPr>
        <w:framePr w:w="874" w:x="2448" w:y="13328"/>
        <w:widowControl w:val="0"/>
        <w:autoSpaceDE w:val="0"/>
        <w:autoSpaceDN w:val="0"/>
        <w:spacing w:before="1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陈恩昌</w:t>
      </w:r>
    </w:p>
    <w:p>
      <w:pPr>
        <w:framePr w:w="874" w:x="2448" w:y="13328"/>
        <w:widowControl w:val="0"/>
        <w:autoSpaceDE w:val="0"/>
        <w:autoSpaceDN w:val="0"/>
        <w:spacing w:before="1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梁梦媛</w:t>
      </w:r>
    </w:p>
    <w:p>
      <w:pPr>
        <w:framePr w:w="874" w:x="6563" w:y="147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80,000</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3" type="#_x0000_t75" style="width:445.6pt;height:2.7pt;margin-top:53.5pt;margin-left:87.45pt;mso-position-horizontal-relative:page;mso-position-vertical-relative:page;position:absolute;z-index:-251299840">
            <v:imagedata r:id="rId103" o:title=""/>
          </v:shape>
        </w:pict>
      </w:r>
      <w:r>
        <w:rPr>
          <w:noProof/>
        </w:rPr>
        <w:pict>
          <v:shape id="_x0000_s1144" type="#_x0000_t75" style="width:548.35pt;height:449.9pt;margin-top:74.3pt;margin-left:24.8pt;mso-position-horizontal-relative:page;mso-position-vertical-relative:page;position:absolute;z-index:-251424768">
            <v:imagedata r:id="rId104" o:title=""/>
          </v:shape>
        </w:pict>
      </w:r>
      <w:r>
        <w:rPr>
          <w:noProof/>
        </w:rPr>
        <w:pict>
          <v:shape id="_x0000_s1145" type="#_x0000_t75" style="width:468.65pt;height:178.05pt;margin-top:576.65pt;margin-left:83.25pt;mso-position-horizontal-relative:page;mso-position-vertical-relative:page;position:absolute;z-index:-251610112">
            <v:imagedata r:id="rId105" o:title=""/>
          </v:shape>
        </w:pict>
      </w:r>
    </w:p>
    <w:p>
      <w:pPr>
        <w:spacing w:line="0" w:lineRule="atLeast"/>
        <w:rPr>
          <w:rFonts w:ascii="Arial" w:eastAsiaTheme="minorEastAsia" w:hAnsiTheme="minorHAnsi" w:cstheme="minorBidi"/>
          <w:color w:val="FF0000"/>
          <w:sz w:val="2"/>
          <w:szCs w:val="22"/>
          <w:lang w:val="en-US" w:eastAsia="en-US" w:bidi="ar-SA"/>
        </w:rPr>
      </w:pPr>
      <w:bookmarkStart w:id="48" w:name="br1_47"/>
      <w:bookmarkEnd w:id="48"/>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46" w:x="179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874" w:x="244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江广同</w:t>
      </w:r>
    </w:p>
    <w:p>
      <w:pPr>
        <w:framePr w:w="874" w:x="6563"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70,000</w:t>
      </w:r>
    </w:p>
    <w:p>
      <w:pPr>
        <w:framePr w:w="1030" w:x="980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030" w:x="9806" w:y="1547"/>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030" w:x="9806" w:y="1547"/>
        <w:widowControl w:val="0"/>
        <w:autoSpaceDE w:val="0"/>
        <w:autoSpaceDN w:val="0"/>
        <w:spacing w:before="14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1030" w:x="9806" w:y="1547"/>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346" w:x="1798" w:y="19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w:t>
      </w:r>
    </w:p>
    <w:p>
      <w:pPr>
        <w:framePr w:w="874" w:x="2448" w:y="1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尚玉珂</w:t>
      </w:r>
    </w:p>
    <w:p>
      <w:pPr>
        <w:framePr w:w="874" w:x="6563" w:y="19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70,000</w:t>
      </w:r>
    </w:p>
    <w:p>
      <w:pPr>
        <w:framePr w:w="874" w:x="6563" w:y="1903"/>
        <w:widowControl w:val="0"/>
        <w:autoSpaceDE w:val="0"/>
        <w:autoSpaceDN w:val="0"/>
        <w:spacing w:before="14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68,000</w:t>
      </w:r>
    </w:p>
    <w:p>
      <w:pPr>
        <w:framePr w:w="874" w:x="6563" w:y="1903"/>
        <w:widowControl w:val="0"/>
        <w:autoSpaceDE w:val="0"/>
        <w:autoSpaceDN w:val="0"/>
        <w:spacing w:before="1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50,000</w:t>
      </w:r>
    </w:p>
    <w:p>
      <w:pPr>
        <w:framePr w:w="346" w:x="1798" w:y="22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w:t>
      </w:r>
    </w:p>
    <w:p>
      <w:pPr>
        <w:framePr w:w="874" w:x="2448" w:y="22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王现国</w:t>
      </w:r>
    </w:p>
    <w:p>
      <w:pPr>
        <w:framePr w:w="451" w:x="1798" w:y="26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w:t>
      </w:r>
    </w:p>
    <w:p>
      <w:pPr>
        <w:framePr w:w="1294" w:x="2448" w:y="2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门飞等</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人</w:t>
      </w:r>
    </w:p>
    <w:p>
      <w:pPr>
        <w:framePr w:w="3619" w:x="1798" w:y="29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上述股东关联关系或一致行动的说明</w:t>
      </w:r>
    </w:p>
    <w:p>
      <w:pPr>
        <w:framePr w:w="9178" w:x="1798" w:y="33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9"/>
          <w:sz w:val="21"/>
          <w:szCs w:val="22"/>
          <w:lang w:val="en-US" w:eastAsia="en-US" w:bidi="ar-SA"/>
        </w:rPr>
        <w:t>：公</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z w:val="21"/>
          <w:szCs w:val="22"/>
          <w:lang w:val="en-US" w:eastAsia="en-US" w:bidi="ar-SA"/>
        </w:rPr>
        <w:t>司</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年限制性股票激励计划各批次限制性股票的限售期分别为自限制性股票上市</w:t>
      </w:r>
    </w:p>
    <w:p>
      <w:pPr>
        <w:framePr w:w="9178" w:x="1798" w:y="33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之日起</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pacing w:val="-6"/>
          <w:sz w:val="21"/>
          <w:szCs w:val="22"/>
          <w:lang w:val="en-US" w:eastAsia="en-US" w:bidi="ar-SA"/>
        </w:rPr>
        <w:t>个月、</w:t>
      </w:r>
      <w:r>
        <w:rPr>
          <w:rFonts w:ascii="SimSun" w:eastAsiaTheme="minorEastAsia" w:hAnsiTheme="minorHAnsi" w:cstheme="minorBidi"/>
          <w:color w:val="000000"/>
          <w:spacing w:val="-1"/>
          <w:sz w:val="21"/>
          <w:szCs w:val="22"/>
          <w:lang w:val="en-US" w:eastAsia="en-US" w:bidi="ar-SA"/>
        </w:rPr>
        <w:t>24</w:t>
      </w:r>
      <w:r>
        <w:rPr>
          <w:rFonts w:ascii="SimSun" w:hAnsi="SimSun" w:eastAsiaTheme="minorEastAsia" w:cs="SimSun"/>
          <w:color w:val="000000"/>
          <w:spacing w:val="-1"/>
          <w:sz w:val="21"/>
          <w:szCs w:val="22"/>
          <w:lang w:val="en-US" w:eastAsia="en-US" w:bidi="ar-SA"/>
        </w:rPr>
        <w:t>个月和</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36</w:t>
      </w:r>
      <w:r>
        <w:rPr>
          <w:rFonts w:ascii="SimSun" w:hAnsi="SimSun" w:eastAsiaTheme="minorEastAsia" w:cs="SimSun"/>
          <w:color w:val="000000"/>
          <w:spacing w:val="-2"/>
          <w:sz w:val="21"/>
          <w:szCs w:val="22"/>
          <w:lang w:val="en-US" w:eastAsia="en-US" w:bidi="ar-SA"/>
        </w:rPr>
        <w:t>个月。具体内容详见公司于</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w:t>
      </w:r>
      <w:r>
        <w:rPr>
          <w:rFonts w:ascii="SimSun" w:hAnsi="SimSun" w:eastAsiaTheme="minorEastAsia" w:cs="SimSun"/>
          <w:color w:val="000000"/>
          <w:sz w:val="21"/>
          <w:szCs w:val="22"/>
          <w:lang w:val="en-US" w:eastAsia="en-US" w:bidi="ar-SA"/>
        </w:rPr>
        <w:t>日在上海证券交易所网</w:t>
      </w:r>
    </w:p>
    <w:p>
      <w:pPr>
        <w:framePr w:w="9178" w:x="1798" w:y="33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站（</w:t>
      </w:r>
      <w:r>
        <w:rPr>
          <w:rFonts w:ascii="SimSun" w:eastAsiaTheme="minorEastAsia" w:hAnsiTheme="minorHAnsi" w:cstheme="minorBidi"/>
          <w:color w:val="000000"/>
          <w:sz w:val="21"/>
          <w:szCs w:val="22"/>
          <w:lang w:val="en-US" w:eastAsia="en-US" w:bidi="ar-SA"/>
        </w:rPr>
        <w:t>www.sse.com.cn</w:t>
      </w:r>
      <w:r>
        <w:rPr>
          <w:rFonts w:ascii="SimSun" w:hAnsi="SimSun" w:eastAsiaTheme="minorEastAsia" w:cs="SimSun"/>
          <w:color w:val="000000"/>
          <w:sz w:val="21"/>
          <w:szCs w:val="22"/>
          <w:lang w:val="en-US" w:eastAsia="en-US" w:bidi="ar-SA"/>
        </w:rPr>
        <w:t>）披露的《关于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年限制性股票激励计划授予结果的公告》（公告编号：</w:t>
      </w:r>
    </w:p>
    <w:p>
      <w:pPr>
        <w:framePr w:w="9178" w:x="1798" w:y="336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2020-052</w:t>
      </w:r>
      <w:r>
        <w:rPr>
          <w:rFonts w:ascii="SimSun" w:hAnsi="SimSun" w:eastAsiaTheme="minorEastAsia" w:cs="SimSun"/>
          <w:color w:val="000000"/>
          <w:spacing w:val="-1"/>
          <w:sz w:val="21"/>
          <w:szCs w:val="22"/>
          <w:lang w:val="en-US" w:eastAsia="en-US" w:bidi="ar-SA"/>
        </w:rPr>
        <w:t>）。</w:t>
      </w:r>
    </w:p>
    <w:p>
      <w:pPr>
        <w:framePr w:w="5636" w:x="1798" w:y="510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战略投资者或一般法人因配售新股成为前</w:t>
      </w:r>
      <w:r>
        <w:rPr>
          <w:rFonts w:eastAsiaTheme="minorEastAsia" w:hAnsiTheme="minorHAnsi" w:cstheme="minorBidi"/>
          <w:color w:val="000000"/>
          <w:spacing w:val="1"/>
          <w:sz w:val="21"/>
          <w:szCs w:val="22"/>
          <w:lang w:val="en-US" w:eastAsia="en-US" w:bidi="ar-SA"/>
        </w:rPr>
        <w:t xml:space="preserve"> </w:t>
      </w:r>
      <w:r>
        <w:rPr>
          <w:rFonts w:ascii="Calibri" w:eastAsiaTheme="minorEastAsia" w:hAnsiTheme="minorHAnsi" w:cstheme="minorBidi"/>
          <w:b/>
          <w:color w:val="000000"/>
          <w:spacing w:val="-1"/>
          <w:sz w:val="21"/>
          <w:szCs w:val="22"/>
          <w:lang w:val="en-US" w:eastAsia="en-US" w:bidi="ar-SA"/>
        </w:rPr>
        <w:t>10</w:t>
      </w:r>
      <w:r>
        <w:rPr>
          <w:rFonts w:eastAsiaTheme="minorEastAsia" w:hAnsiTheme="minorHAnsi" w:cstheme="minorBidi"/>
          <w:b/>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名股东</w:t>
      </w:r>
    </w:p>
    <w:p>
      <w:pPr>
        <w:framePr w:w="5636" w:x="1798" w:y="5104"/>
        <w:widowControl w:val="0"/>
        <w:autoSpaceDE w:val="0"/>
        <w:autoSpaceDN w:val="0"/>
        <w:spacing w:before="29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221" w:x="1798" w:y="61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四、控股股东及实际控制人情况</w:t>
      </w:r>
    </w:p>
    <w:p>
      <w:pPr>
        <w:framePr w:w="3221" w:x="1798" w:y="6180"/>
        <w:widowControl w:val="0"/>
        <w:autoSpaceDE w:val="0"/>
        <w:autoSpaceDN w:val="0"/>
        <w:spacing w:before="297"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控股股东情况</w:t>
      </w:r>
    </w:p>
    <w:p>
      <w:pPr>
        <w:framePr w:w="346" w:x="1798" w:y="72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1817" w:x="1798" w:y="72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法人</w:t>
      </w:r>
    </w:p>
    <w:p>
      <w:pPr>
        <w:framePr w:w="1817" w:x="1798" w:y="7239"/>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7239"/>
        <w:widowControl w:val="0"/>
        <w:autoSpaceDE w:val="0"/>
        <w:autoSpaceDN w:val="0"/>
        <w:spacing w:before="12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自然人</w:t>
      </w:r>
    </w:p>
    <w:p>
      <w:pPr>
        <w:framePr w:w="346" w:x="1798" w:y="79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1817" w:x="1798" w:y="82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798" w:y="85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874" w:x="5168" w:y="85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874" w:x="5168" w:y="851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中国</w:t>
      </w:r>
    </w:p>
    <w:p>
      <w:pPr>
        <w:framePr w:w="662" w:x="1798" w:y="8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国籍</w:t>
      </w:r>
    </w:p>
    <w:p>
      <w:pPr>
        <w:framePr w:w="3197" w:x="1798" w:y="90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是否取得其他国家或地区居留权</w:t>
      </w:r>
    </w:p>
    <w:p>
      <w:pPr>
        <w:framePr w:w="3197" w:x="1798" w:y="90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主要职业及职务</w:t>
      </w:r>
    </w:p>
    <w:p>
      <w:pPr>
        <w:framePr w:w="451" w:x="5168" w:y="90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1296" w:x="5168" w:y="93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公司董事长</w:t>
      </w:r>
    </w:p>
    <w:p>
      <w:pPr>
        <w:framePr w:w="346" w:x="1798" w:y="100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3619" w:x="2218" w:y="10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公司不存在控股股东情况的特别说明</w:t>
      </w:r>
    </w:p>
    <w:p>
      <w:pPr>
        <w:framePr w:w="4246" w:x="1798" w:y="10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246" w:x="1798" w:y="10568"/>
        <w:widowControl w:val="0"/>
        <w:autoSpaceDE w:val="0"/>
        <w:autoSpaceDN w:val="0"/>
        <w:spacing w:before="18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报告期内控股股东变更情况索引及日期</w:t>
      </w:r>
    </w:p>
    <w:p>
      <w:pPr>
        <w:framePr w:w="346" w:x="1798" w:y="10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5091" w:x="1798" w:y="114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091" w:x="1798" w:y="11489"/>
        <w:widowControl w:val="0"/>
        <w:autoSpaceDE w:val="0"/>
        <w:autoSpaceDN w:val="0"/>
        <w:spacing w:before="180" w:line="211" w:lineRule="exact"/>
        <w:ind w:left="42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公司与控股股东之间的产权及控制关系的方框图</w:t>
      </w:r>
    </w:p>
    <w:p>
      <w:pPr>
        <w:framePr w:w="346" w:x="1798" w:y="118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1922" w:x="1798" w:y="124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6" type="#_x0000_t75" style="width:445.6pt;height:2.7pt;margin-top:53.5pt;margin-left:87.45pt;mso-position-horizontal-relative:page;mso-position-vertical-relative:page;position:absolute;z-index:-251298816">
            <v:imagedata r:id="rId106" o:title=""/>
          </v:shape>
        </w:pict>
      </w:r>
      <w:r>
        <w:rPr>
          <w:noProof/>
        </w:rPr>
        <w:pict>
          <v:shape id="_x0000_s1147" type="#_x0000_t75" style="width:468.65pt;height:87.7pt;margin-top:74.3pt;margin-left:83.25pt;mso-position-horizontal-relative:page;mso-position-vertical-relative:page;position:absolute;z-index:-251423744">
            <v:imagedata r:id="rId107" o:title=""/>
          </v:shape>
        </w:pict>
      </w:r>
      <w:r>
        <w:rPr>
          <w:noProof/>
        </w:rPr>
        <w:pict>
          <v:shape id="_x0000_s1148" type="#_x0000_t75" style="width:454.95pt;height:58.9pt;margin-top:422.95pt;margin-left:83.25pt;mso-position-horizontal-relative:page;mso-position-vertical-relative:page;position:absolute;z-index:-251609088">
            <v:imagedata r:id="rId108" o:title=""/>
          </v:shape>
        </w:pict>
      </w:r>
    </w:p>
    <w:p>
      <w:pPr>
        <w:spacing w:line="0" w:lineRule="atLeast"/>
        <w:rPr>
          <w:rFonts w:ascii="Arial" w:eastAsiaTheme="minorEastAsia" w:hAnsiTheme="minorHAnsi" w:cstheme="minorBidi"/>
          <w:color w:val="FF0000"/>
          <w:sz w:val="2"/>
          <w:szCs w:val="22"/>
          <w:lang w:val="en-US" w:eastAsia="en-US" w:bidi="ar-SA"/>
        </w:rPr>
      </w:pPr>
      <w:bookmarkStart w:id="49" w:name="br1_48"/>
      <w:bookmarkEnd w:id="49"/>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138" w:x="1798" w:y="471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实际控制人情况</w:t>
      </w:r>
    </w:p>
    <w:p>
      <w:pPr>
        <w:framePr w:w="2138" w:x="1798" w:y="4713"/>
        <w:widowControl w:val="0"/>
        <w:autoSpaceDE w:val="0"/>
        <w:autoSpaceDN w:val="0"/>
        <w:spacing w:before="290" w:line="211" w:lineRule="exact"/>
        <w:ind w:left="42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法人</w:t>
      </w:r>
    </w:p>
    <w:p>
      <w:pPr>
        <w:framePr w:w="346" w:x="1798" w:y="52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1817" w:x="1798" w:y="57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5792"/>
        <w:widowControl w:val="0"/>
        <w:autoSpaceDE w:val="0"/>
        <w:autoSpaceDN w:val="0"/>
        <w:spacing w:before="180" w:line="211" w:lineRule="exact"/>
        <w:ind w:left="42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自然人</w:t>
      </w:r>
    </w:p>
    <w:p>
      <w:pPr>
        <w:framePr w:w="346" w:x="1798" w:y="61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1817" w:x="1798" w:y="67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1798" w:y="6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874" w:x="5874" w:y="6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874" w:x="5874" w:y="699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中国</w:t>
      </w:r>
    </w:p>
    <w:p>
      <w:pPr>
        <w:framePr w:w="662" w:x="1798" w:y="72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国籍</w:t>
      </w:r>
    </w:p>
    <w:p>
      <w:pPr>
        <w:framePr w:w="3197" w:x="1798" w:y="75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是否取得其他国家或地区居留权</w:t>
      </w:r>
    </w:p>
    <w:p>
      <w:pPr>
        <w:framePr w:w="3197" w:x="1798" w:y="755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主要职业及职务</w:t>
      </w:r>
    </w:p>
    <w:p>
      <w:pPr>
        <w:framePr w:w="451" w:x="5874" w:y="75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1296" w:x="5874" w:y="78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公司董事长</w:t>
      </w:r>
    </w:p>
    <w:p>
      <w:pPr>
        <w:framePr w:w="1296" w:x="5874" w:y="7841"/>
        <w:widowControl w:val="0"/>
        <w:autoSpaceDE w:val="0"/>
        <w:autoSpaceDN w:val="0"/>
        <w:spacing w:before="98"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本公司</w:t>
      </w:r>
    </w:p>
    <w:p>
      <w:pPr>
        <w:framePr w:w="3917" w:x="1798" w:y="81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过去</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年曾控股的境内外上市公司情况</w:t>
      </w:r>
    </w:p>
    <w:p>
      <w:pPr>
        <w:framePr w:w="346" w:x="1798" w:y="88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3830" w:x="2223" w:y="88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公司不存在实际控制人情况的特别说明</w:t>
      </w:r>
    </w:p>
    <w:p>
      <w:pPr>
        <w:framePr w:w="1922" w:x="1798" w:y="9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6" w:x="1798" w:y="97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4042" w:x="2223" w:y="9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报告期内实际控制人变更情况索引及日期</w:t>
      </w:r>
    </w:p>
    <w:p>
      <w:pPr>
        <w:framePr w:w="1922" w:x="1798" w:y="103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6" w:x="1798" w:y="107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4886" w:x="2225" w:y="107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公司与实际控制人之间的产权及控制关系的方框图</w:t>
      </w:r>
    </w:p>
    <w:p>
      <w:pPr>
        <w:framePr w:w="1922" w:x="1798" w:y="112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9" type="#_x0000_t75" style="width:445.6pt;height:2.7pt;margin-top:53.5pt;margin-left:87.45pt;mso-position-horizontal-relative:page;mso-position-vertical-relative:page;position:absolute;z-index:-251218944">
            <v:imagedata r:id="rId109" o:title=""/>
          </v:shape>
        </w:pict>
      </w:r>
      <w:r>
        <w:rPr>
          <w:noProof/>
        </w:rPr>
        <w:pict>
          <v:shape id="_x0000_s1150" type="#_x0000_t75" style="width:454.95pt;height:76.3pt;margin-top:346.75pt;margin-left:83.25pt;mso-position-horizontal-relative:page;mso-position-vertical-relative:page;position:absolute;z-index:-251297792">
            <v:imagedata r:id="rId110" o:title=""/>
          </v:shape>
        </w:pict>
      </w:r>
      <w:r>
        <w:rPr>
          <w:noProof/>
        </w:rPr>
        <w:pict>
          <v:shape id="_x0000_s1151" type="#_x0000_t75" style="width:178.9pt;height:142.3pt;margin-top:74.3pt;margin-left:88.9pt;mso-position-horizontal-relative:page;mso-position-vertical-relative:page;position:absolute;z-index:-251422720">
            <v:imagedata r:id="rId111" o:title=""/>
          </v:shape>
        </w:pict>
      </w:r>
      <w:r>
        <w:rPr>
          <w:noProof/>
        </w:rPr>
        <w:pict>
          <v:shape id="_x0000_s1152" type="#_x0000_t75" style="width:193.15pt;height:153.45pt;margin-top:572.75pt;margin-left:88.9pt;mso-position-horizontal-relative:page;mso-position-vertical-relative:page;position:absolute;z-index:-251608064">
            <v:imagedata r:id="rId112" o:title=""/>
          </v:shape>
        </w:pict>
      </w:r>
    </w:p>
    <w:p>
      <w:pPr>
        <w:spacing w:line="0" w:lineRule="atLeast"/>
        <w:rPr>
          <w:rFonts w:ascii="Arial" w:eastAsiaTheme="minorEastAsia" w:hAnsiTheme="minorHAnsi" w:cstheme="minorBidi"/>
          <w:color w:val="FF0000"/>
          <w:sz w:val="2"/>
          <w:szCs w:val="22"/>
          <w:lang w:val="en-US" w:eastAsia="en-US" w:bidi="ar-SA"/>
        </w:rPr>
      </w:pPr>
      <w:bookmarkStart w:id="50" w:name="br1_49"/>
      <w:bookmarkEnd w:id="50"/>
      <w:r>
        <w:rPr>
          <w:rFonts w:ascii="Arial" w:eastAsiaTheme="minorEastAsia" w:hAnsiTheme="minorHAnsi" w:cstheme="minorBidi"/>
          <w:color w:val="FF0000"/>
          <w:sz w:val="2"/>
          <w:szCs w:val="22"/>
          <w:lang w:val="en-US" w:eastAsia="en-US" w:bidi="ar-SA"/>
        </w:rPr>
        <w:t xml:space="preserve"> </w:t>
      </w:r>
    </w:p>
    <w:p>
      <w:pPr>
        <w:framePr w:w="1550" w:x="5550"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46" w:x="1798" w:y="15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4886" w:x="2223"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实际控制人通过信托或其他资产管理方式控制公司</w:t>
      </w:r>
    </w:p>
    <w:p>
      <w:pPr>
        <w:framePr w:w="1922"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34" w:x="1798" w:y="243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控股股东及实际控制人其他情况介绍</w:t>
      </w:r>
    </w:p>
    <w:p>
      <w:pPr>
        <w:framePr w:w="1922" w:x="1798" w:y="29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66" w:x="1798" w:y="35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五、其他持股在百分之十以上的法人股东</w:t>
      </w:r>
    </w:p>
    <w:p>
      <w:pPr>
        <w:framePr w:w="1817" w:x="1798" w:y="4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96" w:x="1798" w:y="4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六、股份限制减持情况说明</w:t>
      </w:r>
    </w:p>
    <w:p>
      <w:pPr>
        <w:framePr w:w="2796" w:x="1798" w:y="4435"/>
        <w:widowControl w:val="0"/>
        <w:autoSpaceDE w:val="0"/>
        <w:autoSpaceDN w:val="0"/>
        <w:spacing w:before="18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68" w:x="4599" w:y="5712"/>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第七节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1"/>
          <w:sz w:val="28"/>
          <w:szCs w:val="22"/>
          <w:lang w:val="en-US" w:eastAsia="en-US" w:bidi="ar-SA"/>
        </w:rPr>
        <w:t>优先股相关情况</w:t>
      </w:r>
    </w:p>
    <w:p>
      <w:pPr>
        <w:framePr w:w="1817" w:x="1798" w:y="6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3" type="#_x0000_t75" style="width:445.6pt;height:2.7pt;margin-top:53.5pt;margin-left:87.45pt;mso-position-horizontal-relative:page;mso-position-vertical-relative:page;position:absolute;z-index:-25160704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1" w:name="br1_50"/>
      <w:bookmarkEnd w:id="51"/>
      <w:r>
        <w:rPr>
          <w:rFonts w:ascii="Arial" w:eastAsiaTheme="minorEastAsia" w:hAnsiTheme="minorHAnsi" w:cstheme="minorBidi"/>
          <w:color w:val="FF0000"/>
          <w:sz w:val="2"/>
          <w:szCs w:val="22"/>
          <w:lang w:val="en-US" w:eastAsia="en-US" w:bidi="ar-SA"/>
        </w:rPr>
        <w:t xml:space="preserve"> </w:t>
      </w:r>
    </w:p>
    <w:p>
      <w:pPr>
        <w:framePr w:w="1550" w:x="7796" w:y="85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278" w:x="5442" w:y="1308"/>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第八节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1"/>
          <w:sz w:val="28"/>
          <w:szCs w:val="22"/>
          <w:lang w:val="en-US" w:eastAsia="en-US" w:bidi="ar-SA"/>
        </w:rPr>
        <w:t>董事、监事、高级管理人员和员工情况</w:t>
      </w:r>
    </w:p>
    <w:p>
      <w:pPr>
        <w:framePr w:w="2986" w:x="1524" w:y="1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一、持股变动情况及报酬情况</w:t>
      </w:r>
    </w:p>
    <w:p>
      <w:pPr>
        <w:framePr w:w="6987" w:x="1524" w:y="247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现任及报告期内离任董事、监事和高级管理人员持股变动及报酬情况</w:t>
      </w:r>
    </w:p>
    <w:p>
      <w:pPr>
        <w:framePr w:w="1817" w:x="1524" w:y="30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4558" w:y="32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单位：股</w:t>
      </w:r>
    </w:p>
    <w:p>
      <w:pPr>
        <w:framePr w:w="2990" w:x="13408" w:y="35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报告期内从公司</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是否在公司</w:t>
      </w:r>
    </w:p>
    <w:p>
      <w:pPr>
        <w:framePr w:w="2990" w:x="13408" w:y="3576"/>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获得的税前报酬</w:t>
      </w:r>
      <w:r>
        <w:rPr>
          <w:rFonts w:eastAsiaTheme="minorEastAsia" w:hAnsiTheme="minorHAnsi" w:cstheme="minorBidi"/>
          <w:color w:val="000000"/>
          <w:spacing w:val="17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关联方获取</w:t>
      </w:r>
    </w:p>
    <w:p>
      <w:pPr>
        <w:framePr w:w="2429" w:x="5358" w:y="37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任期起始日</w:t>
      </w:r>
      <w:r>
        <w:rPr>
          <w:rFonts w:eastAsiaTheme="minorEastAsia" w:hAnsiTheme="minorHAnsi" w:cstheme="minorBidi"/>
          <w:color w:val="000000"/>
          <w:spacing w:val="241"/>
          <w:sz w:val="21"/>
          <w:szCs w:val="22"/>
          <w:lang w:val="en-US" w:eastAsia="en-US" w:bidi="ar-SA"/>
        </w:rPr>
        <w:t xml:space="preserve"> </w:t>
      </w:r>
      <w:r>
        <w:rPr>
          <w:rFonts w:ascii="SimSun" w:hAnsi="SimSun" w:eastAsiaTheme="minorEastAsia" w:cs="SimSun"/>
          <w:color w:val="000000"/>
          <w:sz w:val="21"/>
          <w:szCs w:val="22"/>
          <w:lang w:val="en-US" w:eastAsia="en-US" w:bidi="ar-SA"/>
        </w:rPr>
        <w:t>任期终止</w:t>
      </w:r>
    </w:p>
    <w:p>
      <w:pPr>
        <w:framePr w:w="1296" w:x="10408" w:y="37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年度内股份</w:t>
      </w:r>
    </w:p>
    <w:p>
      <w:pPr>
        <w:framePr w:w="1296" w:x="10408" w:y="378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增减变动量</w:t>
      </w:r>
    </w:p>
    <w:p>
      <w:pPr>
        <w:framePr w:w="662" w:x="1174" w:y="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1452" w:x="2060" w:y="3924"/>
        <w:widowControl w:val="0"/>
        <w:autoSpaceDE w:val="0"/>
        <w:autoSpaceDN w:val="0"/>
        <w:spacing w:line="211" w:lineRule="exact"/>
        <w:ind w:left="37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职务</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注</w:t>
      </w:r>
      <w:r>
        <w:rPr>
          <w:rFonts w:ascii="SimSun" w:eastAsiaTheme="minorEastAsia" w:hAnsiTheme="minorHAnsi" w:cstheme="minorBidi"/>
          <w:color w:val="000000"/>
          <w:sz w:val="21"/>
          <w:szCs w:val="22"/>
          <w:lang w:val="en-US" w:eastAsia="en-US" w:bidi="ar-SA"/>
        </w:rPr>
        <w:t>)</w:t>
      </w:r>
    </w:p>
    <w:p>
      <w:pPr>
        <w:framePr w:w="1452" w:x="2060" w:y="3924"/>
        <w:widowControl w:val="0"/>
        <w:autoSpaceDE w:val="0"/>
        <w:autoSpaceDN w:val="0"/>
        <w:spacing w:before="4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董事长</w:t>
      </w:r>
    </w:p>
    <w:p>
      <w:pPr>
        <w:framePr w:w="662" w:x="3872" w:y="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性别</w:t>
      </w:r>
    </w:p>
    <w:p>
      <w:pPr>
        <w:framePr w:w="761" w:x="4522" w:y="3924"/>
        <w:widowControl w:val="0"/>
        <w:autoSpaceDE w:val="0"/>
        <w:autoSpaceDN w:val="0"/>
        <w:spacing w:line="211" w:lineRule="exact"/>
        <w:ind w:left="9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年龄</w:t>
      </w:r>
    </w:p>
    <w:p>
      <w:pPr>
        <w:framePr w:w="761" w:x="4522" w:y="3924"/>
        <w:widowControl w:val="0"/>
        <w:autoSpaceDE w:val="0"/>
        <w:autoSpaceDN w:val="0"/>
        <w:spacing w:before="42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56</w:t>
      </w:r>
    </w:p>
    <w:p>
      <w:pPr>
        <w:framePr w:w="2559" w:x="7842" w:y="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年初持股数</w:t>
      </w:r>
      <w:r>
        <w:rPr>
          <w:rFonts w:eastAsiaTheme="minorEastAsia" w:hAnsiTheme="minorHAnsi" w:cstheme="minorBidi"/>
          <w:color w:val="000000"/>
          <w:spacing w:val="16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年末持股数</w:t>
      </w:r>
    </w:p>
    <w:p>
      <w:pPr>
        <w:framePr w:w="1507" w:x="11817" w:y="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增减变动原因</w:t>
      </w:r>
    </w:p>
    <w:p>
      <w:pPr>
        <w:framePr w:w="451" w:x="5778" w:y="4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w:t>
      </w:r>
    </w:p>
    <w:p>
      <w:pPr>
        <w:framePr w:w="662" w:x="6913" w:y="4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日期</w:t>
      </w:r>
    </w:p>
    <w:p>
      <w:pPr>
        <w:framePr w:w="1507" w:x="13514" w:y="41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总额（万元）</w:t>
      </w:r>
    </w:p>
    <w:p>
      <w:pPr>
        <w:framePr w:w="662" w:x="15422" w:y="41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报酬</w:t>
      </w:r>
    </w:p>
    <w:p>
      <w:pPr>
        <w:framePr w:w="874" w:x="924" w:y="4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874" w:x="924" w:y="455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陈鸣宇</w:t>
      </w:r>
    </w:p>
    <w:p>
      <w:pPr>
        <w:framePr w:w="451" w:x="3857" w:y="4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3857" w:y="455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7856" w:x="5358" w:y="4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r>
        <w:rPr>
          <w:rFonts w:ascii="SimSun" w:eastAsiaTheme="minorEastAsia" w:hAnsiTheme="minorHAnsi" w:cstheme="minorBidi"/>
          <w:color w:val="000000"/>
          <w:spacing w:val="16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37,537,208</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52,552,091</w:t>
      </w:r>
      <w:r>
        <w:rPr>
          <w:rFonts w:ascii="SimSun" w:eastAsiaTheme="minorEastAsia" w:hAnsiTheme="minorHAnsi" w:cstheme="minorBidi"/>
          <w:color w:val="000000"/>
          <w:spacing w:val="17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15,014,883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资本公积转增</w:t>
      </w:r>
    </w:p>
    <w:p>
      <w:pPr>
        <w:framePr w:w="768" w:x="14361" w:y="45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54.32</w:t>
      </w:r>
    </w:p>
    <w:p>
      <w:pPr>
        <w:framePr w:w="768" w:x="14361" w:y="455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32.75</w:t>
      </w:r>
    </w:p>
    <w:p>
      <w:pPr>
        <w:framePr w:w="451" w:x="15103" w:y="4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455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1718" w:x="2060" w:y="48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董事、副总经理</w:t>
      </w:r>
    </w:p>
    <w:p>
      <w:pPr>
        <w:framePr w:w="451" w:x="4522" w:y="483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w:t>
      </w:r>
    </w:p>
    <w:p>
      <w:pPr>
        <w:framePr w:w="8070" w:x="5358" w:y="48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2021.3.21</w:t>
      </w:r>
      <w:r>
        <w:rPr>
          <w:rFonts w:ascii="SimSun" w:eastAsiaTheme="minorEastAsia" w:hAnsiTheme="minorHAnsi" w:cstheme="minorBidi"/>
          <w:color w:val="000000"/>
          <w:spacing w:val="27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2,073,300</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23,606,020</w:t>
      </w:r>
      <w:r>
        <w:rPr>
          <w:rFonts w:ascii="SimSun" w:eastAsiaTheme="minorEastAsia" w:hAnsiTheme="minorHAnsi" w:cstheme="minorBidi"/>
          <w:color w:val="000000"/>
          <w:spacing w:val="14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21,532,720</w:t>
      </w:r>
      <w:r>
        <w:rPr>
          <w:rFonts w:ascii="SimSun" w:eastAsiaTheme="minorEastAsia" w:hAnsiTheme="minorHAnsi" w:cstheme="minorBidi"/>
          <w:color w:val="000000"/>
          <w:spacing w:val="14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资本公积转增及</w:t>
      </w:r>
    </w:p>
    <w:p>
      <w:pPr>
        <w:framePr w:w="662" w:x="11711" w:y="51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874" w:x="924" w:y="53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姚长明</w:t>
      </w:r>
    </w:p>
    <w:p>
      <w:pPr>
        <w:framePr w:w="1718" w:x="2060" w:y="53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董事、副总经理</w:t>
      </w:r>
    </w:p>
    <w:p>
      <w:pPr>
        <w:framePr w:w="451" w:x="3857" w:y="53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4522" w:y="53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w:t>
      </w:r>
    </w:p>
    <w:p>
      <w:pPr>
        <w:framePr w:w="2453" w:x="5358" w:y="53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979" w:x="8159" w:y="53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520,713</w:t>
      </w:r>
    </w:p>
    <w:p>
      <w:pPr>
        <w:framePr w:w="979" w:x="9424" w:y="53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828,998</w:t>
      </w:r>
    </w:p>
    <w:p>
      <w:pPr>
        <w:framePr w:w="979" w:x="9424" w:y="5391"/>
        <w:widowControl w:val="0"/>
        <w:autoSpaceDE w:val="0"/>
        <w:autoSpaceDN w:val="0"/>
        <w:spacing w:before="62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w:t>
      </w:r>
    </w:p>
    <w:p>
      <w:pPr>
        <w:framePr w:w="2667" w:x="10761" w:y="53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308,285</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资本公积转增及</w:t>
      </w:r>
    </w:p>
    <w:p>
      <w:pPr>
        <w:framePr w:w="768" w:x="14361" w:y="53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31.52</w:t>
      </w:r>
    </w:p>
    <w:p>
      <w:pPr>
        <w:framePr w:w="451" w:x="15103" w:y="53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1085" w:x="11711" w:y="56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股权激励</w:t>
      </w:r>
    </w:p>
    <w:p>
      <w:pPr>
        <w:framePr w:w="874" w:x="924" w:y="5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王申健</w:t>
      </w:r>
    </w:p>
    <w:p>
      <w:pPr>
        <w:framePr w:w="874" w:x="924" w:y="59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门亮</w:t>
      </w:r>
    </w:p>
    <w:p>
      <w:pPr>
        <w:framePr w:w="662" w:x="2060" w:y="5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451" w:x="3857" w:y="5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3857" w:y="59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4522" w:y="59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29</w:t>
      </w:r>
    </w:p>
    <w:p>
      <w:pPr>
        <w:framePr w:w="451" w:x="4522" w:y="594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41</w:t>
      </w:r>
    </w:p>
    <w:p>
      <w:pPr>
        <w:framePr w:w="2453" w:x="5358" w:y="59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2020.8.14</w:t>
      </w:r>
      <w:r>
        <w:rPr>
          <w:rFonts w:ascii="SimSun"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2021.3.22</w:t>
      </w:r>
      <w:r>
        <w:rPr>
          <w:rFonts w:ascii="SimSun"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2020.4.27</w:t>
      </w:r>
      <w:r>
        <w:rPr>
          <w:rFonts w:ascii="SimSun"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2021.3.22</w:t>
      </w:r>
      <w:r>
        <w:rPr>
          <w:rFonts w:ascii="SimSun"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2019.4.30</w:t>
      </w:r>
      <w:r>
        <w:rPr>
          <w:rFonts w:ascii="SimSun"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2019.4.30</w:t>
      </w:r>
      <w:r>
        <w:rPr>
          <w:rFonts w:ascii="SimSun"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2020.4.27</w:t>
      </w:r>
      <w:r>
        <w:rPr>
          <w:rFonts w:ascii="SimSun"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2020.4.27</w:t>
      </w:r>
    </w:p>
    <w:p>
      <w:pPr>
        <w:framePr w:w="2453" w:x="5358" w:y="594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2021.3.22</w:t>
      </w:r>
      <w:r>
        <w:rPr>
          <w:rFonts w:ascii="SimSun"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2453" w:x="5358" w:y="594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2024.3.21</w:t>
      </w:r>
    </w:p>
    <w:p>
      <w:pPr>
        <w:framePr w:w="346" w:x="14781" w:y="59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451" w:x="15103" w:y="5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59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662" w:x="2060" w:y="6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2033" w:x="10761" w:y="6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股权激励</w:t>
      </w:r>
    </w:p>
    <w:p>
      <w:pPr>
        <w:framePr w:w="768" w:x="14361" w:y="62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33.71</w:t>
      </w:r>
    </w:p>
    <w:p>
      <w:pPr>
        <w:framePr w:w="874" w:x="2060" w:y="65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总经理</w:t>
      </w:r>
    </w:p>
    <w:p>
      <w:pPr>
        <w:framePr w:w="662" w:x="924" w:y="67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刘峰</w:t>
      </w:r>
    </w:p>
    <w:p>
      <w:pPr>
        <w:framePr w:w="1296" w:x="2060" w:y="67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独立董事</w:t>
      </w:r>
    </w:p>
    <w:p>
      <w:pPr>
        <w:framePr w:w="1296" w:x="2060"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独立董事</w:t>
      </w:r>
    </w:p>
    <w:p>
      <w:pPr>
        <w:framePr w:w="1296" w:x="2060"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独立董事</w:t>
      </w:r>
    </w:p>
    <w:p>
      <w:pPr>
        <w:framePr w:w="1296" w:x="2060" w:y="67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监事会主席</w:t>
      </w:r>
    </w:p>
    <w:p>
      <w:pPr>
        <w:framePr w:w="1296" w:x="2060"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监事</w:t>
      </w:r>
    </w:p>
    <w:p>
      <w:pPr>
        <w:framePr w:w="451" w:x="3857" w:y="67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3857"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3857"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3857" w:y="67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3857"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3857"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女</w:t>
      </w:r>
    </w:p>
    <w:p>
      <w:pPr>
        <w:framePr w:w="451" w:x="3857" w:y="67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4522" w:y="67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w:t>
      </w:r>
    </w:p>
    <w:p>
      <w:pPr>
        <w:framePr w:w="451" w:x="4522" w:y="67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49</w:t>
      </w:r>
    </w:p>
    <w:p>
      <w:pPr>
        <w:framePr w:w="451" w:x="4522" w:y="67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42</w:t>
      </w:r>
    </w:p>
    <w:p>
      <w:pPr>
        <w:framePr w:w="451" w:x="4522" w:y="679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44</w:t>
      </w:r>
    </w:p>
    <w:p>
      <w:pPr>
        <w:framePr w:w="451" w:x="4522" w:y="67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36</w:t>
      </w:r>
    </w:p>
    <w:p>
      <w:pPr>
        <w:framePr w:w="451" w:x="4522" w:y="67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40</w:t>
      </w:r>
    </w:p>
    <w:p>
      <w:pPr>
        <w:framePr w:w="451" w:x="4522" w:y="679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w:t>
      </w:r>
    </w:p>
    <w:p>
      <w:pPr>
        <w:framePr w:w="346" w:x="14781" w:y="67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4781" w:y="67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451" w:x="15103" w:y="67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67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67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67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874" w:x="924" w:y="70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孙宗彬</w:t>
      </w:r>
    </w:p>
    <w:p>
      <w:pPr>
        <w:framePr w:w="874" w:x="924" w:y="70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仲涛</w:t>
      </w:r>
    </w:p>
    <w:p>
      <w:pPr>
        <w:framePr w:w="346" w:x="14781" w:y="73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874" w:x="924" w:y="76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侯天法</w:t>
      </w:r>
    </w:p>
    <w:p>
      <w:pPr>
        <w:framePr w:w="874" w:x="924" w:y="76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李刚</w:t>
      </w:r>
    </w:p>
    <w:p>
      <w:pPr>
        <w:framePr w:w="768" w:x="14361" w:y="76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32.76</w:t>
      </w:r>
    </w:p>
    <w:p>
      <w:pPr>
        <w:framePr w:w="768" w:x="14361" w:y="76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24.47</w:t>
      </w:r>
    </w:p>
    <w:p>
      <w:pPr>
        <w:framePr w:w="768" w:x="14361" w:y="76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16.25</w:t>
      </w:r>
    </w:p>
    <w:p>
      <w:pPr>
        <w:framePr w:w="768" w:x="14361" w:y="764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34.42</w:t>
      </w:r>
    </w:p>
    <w:p>
      <w:pPr>
        <w:framePr w:w="874" w:x="924" w:y="82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王小丽</w:t>
      </w:r>
    </w:p>
    <w:p>
      <w:pPr>
        <w:framePr w:w="874" w:x="924" w:y="820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刘相水</w:t>
      </w:r>
    </w:p>
    <w:p>
      <w:pPr>
        <w:framePr w:w="662" w:x="2060" w:y="82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监事</w:t>
      </w:r>
    </w:p>
    <w:p>
      <w:pPr>
        <w:framePr w:w="1085" w:x="2060" w:y="84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副总经理</w:t>
      </w:r>
    </w:p>
    <w:p>
      <w:pPr>
        <w:framePr w:w="1085" w:x="2060" w:y="8487"/>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总经理</w:t>
      </w:r>
    </w:p>
    <w:p>
      <w:pPr>
        <w:framePr w:w="979" w:x="9424" w:y="84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w:t>
      </w:r>
    </w:p>
    <w:p>
      <w:pPr>
        <w:framePr w:w="2033" w:x="10761" w:y="84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股权激励</w:t>
      </w:r>
    </w:p>
    <w:p>
      <w:pPr>
        <w:framePr w:w="874" w:x="924" w:y="90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陈恩昌</w:t>
      </w:r>
    </w:p>
    <w:p>
      <w:pPr>
        <w:framePr w:w="874" w:x="924" w:y="90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江广同</w:t>
      </w:r>
    </w:p>
    <w:p>
      <w:pPr>
        <w:framePr w:w="1930" w:x="2060" w:y="90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副总经理</w:t>
      </w:r>
    </w:p>
    <w:p>
      <w:pPr>
        <w:framePr w:w="1930" w:x="2060" w:y="90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2"/>
          <w:sz w:val="21"/>
          <w:szCs w:val="22"/>
          <w:lang w:val="en-US" w:eastAsia="en-US" w:bidi="ar-SA"/>
        </w:rPr>
        <w:t>董事会秘书、财务</w:t>
      </w:r>
    </w:p>
    <w:p>
      <w:pPr>
        <w:framePr w:w="1930" w:x="2060" w:y="905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总监</w:t>
      </w:r>
    </w:p>
    <w:p>
      <w:pPr>
        <w:framePr w:w="451" w:x="3857" w:y="90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3857" w:y="90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4522" w:y="90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40</w:t>
      </w:r>
    </w:p>
    <w:p>
      <w:pPr>
        <w:framePr w:w="451" w:x="4522" w:y="905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41</w:t>
      </w:r>
    </w:p>
    <w:p>
      <w:pPr>
        <w:framePr w:w="874" w:x="9527" w:y="90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80,000</w:t>
      </w:r>
    </w:p>
    <w:p>
      <w:pPr>
        <w:framePr w:w="874" w:x="9527" w:y="905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70,000</w:t>
      </w:r>
    </w:p>
    <w:p>
      <w:pPr>
        <w:framePr w:w="1930" w:x="10864" w:y="90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股权激励</w:t>
      </w:r>
    </w:p>
    <w:p>
      <w:pPr>
        <w:framePr w:w="1930" w:x="10864" w:y="90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股权激励</w:t>
      </w:r>
    </w:p>
    <w:p>
      <w:pPr>
        <w:framePr w:w="768" w:x="14361" w:y="90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23.11</w:t>
      </w:r>
    </w:p>
    <w:p>
      <w:pPr>
        <w:framePr w:w="768" w:x="14361" w:y="905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19.95</w:t>
      </w:r>
    </w:p>
    <w:p>
      <w:pPr>
        <w:framePr w:w="451" w:x="15103" w:y="90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90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54" type="#_x0000_t75" style="width:697.6pt;height:2.7pt;margin-top:54.25pt;margin-left:73.75pt;mso-position-horizontal-relative:page;mso-position-vertical-relative:page;position:absolute;z-index:-251421696">
            <v:imagedata r:id="rId113" o:title=""/>
          </v:shape>
        </w:pict>
      </w:r>
      <w:r>
        <w:rPr>
          <w:noProof/>
        </w:rPr>
        <w:pict>
          <v:shape id="_x0000_s1155" type="#_x0000_t75" style="width:775.15pt;height:318.15pt;margin-top:175.8pt;margin-left:39.55pt;mso-position-horizontal-relative:page;mso-position-vertical-relative:page;position:absolute;z-index:-251606016">
            <v:imagedata r:id="rId114" o:title=""/>
          </v:shape>
        </w:pict>
      </w:r>
    </w:p>
    <w:p>
      <w:pPr>
        <w:spacing w:line="0" w:lineRule="atLeast"/>
        <w:rPr>
          <w:rFonts w:ascii="Arial" w:eastAsiaTheme="minorEastAsia" w:hAnsiTheme="minorHAnsi" w:cstheme="minorBidi"/>
          <w:color w:val="FF0000"/>
          <w:sz w:val="2"/>
          <w:szCs w:val="22"/>
          <w:lang w:val="en-US" w:eastAsia="en-US" w:bidi="ar-SA"/>
        </w:rPr>
      </w:pPr>
      <w:bookmarkStart w:id="52" w:name="br1_51"/>
      <w:bookmarkEnd w:id="52"/>
      <w:r>
        <w:rPr>
          <w:rFonts w:ascii="Arial" w:eastAsiaTheme="minorEastAsia" w:hAnsiTheme="minorHAnsi" w:cstheme="minorBidi"/>
          <w:color w:val="FF0000"/>
          <w:sz w:val="2"/>
          <w:szCs w:val="22"/>
          <w:lang w:val="en-US" w:eastAsia="en-US" w:bidi="ar-SA"/>
        </w:rPr>
        <w:t xml:space="preserve"> </w:t>
      </w:r>
    </w:p>
    <w:p>
      <w:pPr>
        <w:framePr w:w="1550" w:x="7796" w:y="85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924"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李壮</w:t>
      </w:r>
    </w:p>
    <w:p>
      <w:pPr>
        <w:framePr w:w="662" w:x="2060"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451" w:x="3857"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3857" w:y="131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男</w:t>
      </w:r>
    </w:p>
    <w:p>
      <w:pPr>
        <w:framePr w:w="451" w:x="4522" w:y="1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61</w:t>
      </w:r>
    </w:p>
    <w:p>
      <w:pPr>
        <w:framePr w:w="451" w:x="4522" w:y="131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61</w:t>
      </w:r>
    </w:p>
    <w:p>
      <w:pPr>
        <w:framePr w:w="2453" w:x="5358" w:y="1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2020.6.3</w:t>
      </w:r>
    </w:p>
    <w:p>
      <w:pPr>
        <w:framePr w:w="2453" w:x="5358" w:y="131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2017.12.19</w:t>
      </w:r>
      <w:r>
        <w:rPr>
          <w:rFonts w:ascii="SimSun" w:eastAsiaTheme="minorEastAsia" w:hAnsiTheme="minorHAnsi" w:cstheme="minorBidi"/>
          <w:color w:val="000000"/>
          <w:spacing w:val="1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2021.3.21</w:t>
      </w:r>
    </w:p>
    <w:p>
      <w:pPr>
        <w:framePr w:w="2506" w:x="7895" w:y="1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2,655,659</w:t>
      </w:r>
      <w:r>
        <w:rPr>
          <w:rFonts w:ascii="SimSun" w:eastAsiaTheme="minorEastAsia" w:hAnsiTheme="minorHAnsi" w:cstheme="minorBidi"/>
          <w:color w:val="000000"/>
          <w:spacing w:val="2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3,717,923</w:t>
      </w:r>
    </w:p>
    <w:p>
      <w:pPr>
        <w:framePr w:w="1190" w:x="10549" w:y="1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1,062,264</w:t>
      </w:r>
    </w:p>
    <w:p>
      <w:pPr>
        <w:framePr w:w="662" w:x="14467" w:y="1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6.64</w:t>
      </w:r>
    </w:p>
    <w:p>
      <w:pPr>
        <w:framePr w:w="662" w:x="14467" w:y="1310"/>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451" w:x="15103"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5103" w:y="131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912" w:x="924" w:y="1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王金信</w:t>
      </w:r>
    </w:p>
    <w:p>
      <w:pPr>
        <w:framePr w:w="912" w:x="924" w:y="1591"/>
        <w:widowControl w:val="0"/>
        <w:autoSpaceDE w:val="0"/>
        <w:autoSpaceDN w:val="0"/>
        <w:spacing w:before="72" w:line="211" w:lineRule="exact"/>
        <w:ind w:left="25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2060" w:y="1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独立董事</w:t>
      </w:r>
    </w:p>
    <w:p>
      <w:pPr>
        <w:framePr w:w="346" w:x="2796" w:y="1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4028" w:y="1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4776" w:y="1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5831" w:y="1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7071" w:y="1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896" w:x="7842" w:y="1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42,786,880</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81,145,032</w:t>
      </w:r>
      <w:r>
        <w:rPr>
          <w:rFonts w:ascii="SimSun" w:eastAsiaTheme="minorEastAsia" w:hAnsiTheme="minorHAnsi" w:cstheme="minorBidi"/>
          <w:color w:val="000000"/>
          <w:spacing w:val="17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38,358,152</w:t>
      </w:r>
    </w:p>
    <w:p>
      <w:pPr>
        <w:framePr w:w="346" w:x="12395" w:y="1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874" w:x="14256" w:y="1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324.90</w:t>
      </w:r>
    </w:p>
    <w:p>
      <w:pPr>
        <w:framePr w:w="346" w:x="15578" w:y="18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662" w:x="1757" w:y="27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1507" w:x="8382" w:y="27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主要工作经历</w:t>
      </w:r>
    </w:p>
    <w:p>
      <w:pPr>
        <w:framePr w:w="874" w:x="1524" w:y="29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13019" w:x="2626" w:y="29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曾任沈阳化工研究院农药研究室专题组长，新加坡</w:t>
      </w:r>
      <w:r>
        <w:rPr>
          <w:rFonts w:eastAsiaTheme="minorEastAsia" w:hAnsiTheme="minorHAnsi" w:cstheme="minorBidi"/>
          <w:color w:val="000000"/>
          <w:spacing w:val="3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SUNDAT</w:t>
      </w:r>
      <w:r>
        <w:rPr>
          <w:rFonts w:ascii="SimSun" w:eastAsiaTheme="minorEastAsia" w:hAnsiTheme="minorHAnsi" w:cstheme="minorBidi"/>
          <w:color w:val="000000"/>
          <w:spacing w:val="-18"/>
          <w:sz w:val="21"/>
          <w:szCs w:val="22"/>
          <w:lang w:val="en-US" w:eastAsia="en-US" w:bidi="ar-SA"/>
        </w:rPr>
        <w:t xml:space="preserve"> </w:t>
      </w:r>
      <w:r>
        <w:rPr>
          <w:rFonts w:ascii="SimSun" w:hAnsi="SimSun" w:eastAsiaTheme="minorEastAsia" w:cs="SimSun"/>
          <w:color w:val="000000"/>
          <w:sz w:val="21"/>
          <w:szCs w:val="22"/>
          <w:lang w:val="en-US" w:eastAsia="en-US" w:bidi="ar-SA"/>
        </w:rPr>
        <w:t>公司研究员，山东省博兴县科农化工有限公司董事长，山东先达化工有限公司董</w:t>
      </w:r>
    </w:p>
    <w:p>
      <w:pPr>
        <w:framePr w:w="13019" w:x="2626" w:y="299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事长。现任本公司董事长。</w:t>
      </w:r>
    </w:p>
    <w:p>
      <w:pPr>
        <w:framePr w:w="874" w:x="1524" w:y="35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姚长明</w:t>
      </w:r>
    </w:p>
    <w:p>
      <w:pPr>
        <w:framePr w:w="13123" w:x="2626" w:y="35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曾任山东省博兴县博兴镇建安公司会计，山东京博农化有限公司会计主管，山东省博兴县科农化工有限公司财务经理，山东先达化工有限公</w:t>
      </w:r>
    </w:p>
    <w:p>
      <w:pPr>
        <w:framePr w:w="13123" w:x="2626" w:y="3549"/>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司财务经理、财务总监、副总经理等职。现任本公司董事、副总经理。</w:t>
      </w:r>
    </w:p>
    <w:p>
      <w:pPr>
        <w:framePr w:w="662" w:x="1524" w:y="41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门亮</w:t>
      </w:r>
    </w:p>
    <w:p>
      <w:pPr>
        <w:framePr w:w="7210" w:x="2626" w:y="41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曾任公司营销总监、济南先达化工科技有限公司总经理。现任本公司总经理</w:t>
      </w:r>
    </w:p>
    <w:p>
      <w:pPr>
        <w:framePr w:w="874" w:x="1524" w:y="43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王申健</w:t>
      </w:r>
    </w:p>
    <w:p>
      <w:pPr>
        <w:framePr w:w="874" w:x="1524" w:y="438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刘峰</w:t>
      </w:r>
    </w:p>
    <w:p>
      <w:pPr>
        <w:framePr w:w="8266" w:x="2626" w:y="43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现就职于杭州方正多策投资管理合伙企业（有限合伙），任分析员职位，本公司董事。</w:t>
      </w:r>
    </w:p>
    <w:p>
      <w:pPr>
        <w:framePr w:w="13123" w:x="2626" w:y="46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1992</w:t>
      </w:r>
      <w:r>
        <w:rPr>
          <w:rFonts w:ascii="SimSun" w:hAnsi="SimSun" w:eastAsiaTheme="minorEastAsia" w:cs="SimSun"/>
          <w:color w:val="000000"/>
          <w:sz w:val="21"/>
          <w:szCs w:val="22"/>
          <w:lang w:val="en-US" w:eastAsia="en-US" w:bidi="ar-SA"/>
        </w:rPr>
        <w:t>年至今任教于山东农业大学，现兼任中国植物病理学会化学防治专业委员会委员，中国植物保护学会园艺病虫害防治专业委员会委员，</w:t>
      </w:r>
    </w:p>
    <w:p>
      <w:pPr>
        <w:framePr w:w="13123" w:x="2626" w:y="466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山东化学化工学会农药专业委员会常务理事，《农药学学报》编委。</w:t>
      </w: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月获上海证券交易所颁发的独立董事资格证书。</w:t>
      </w:r>
    </w:p>
    <w:p>
      <w:pPr>
        <w:framePr w:w="13123" w:x="2626" w:y="466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曾任济南市国有资产管理局办事员、中天运会计师事务所山东分所副总经理、中一会计师事务所济南分所总经理等职，现任中一会计师事务</w:t>
      </w:r>
    </w:p>
    <w:p>
      <w:pPr>
        <w:framePr w:w="13123" w:x="2626" w:y="466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所有限责任公司济南分所合伙人，山东鲁抗医药股份有限公司独立董事，本公司独立董事。</w:t>
      </w:r>
    </w:p>
    <w:p>
      <w:pPr>
        <w:framePr w:w="874" w:x="1524" w:y="5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孙宗彬</w:t>
      </w:r>
    </w:p>
    <w:p>
      <w:pPr>
        <w:framePr w:w="662" w:x="1524" w:y="5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仲涛</w:t>
      </w:r>
    </w:p>
    <w:p>
      <w:pPr>
        <w:framePr w:w="13123" w:x="2626" w:y="5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曾任山东德衡律师事务所济南分所实习律师，山东舜翔律师事务所律师、合伙人，现任国浩律师（济南）事务所合伙人，本公司独立董事。</w:t>
      </w:r>
    </w:p>
    <w:p>
      <w:pPr>
        <w:framePr w:w="13123" w:x="2626" w:y="57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曾任公司采购员、采购经理。现任本公司采购管理中心总监、监事会主席。</w:t>
      </w:r>
    </w:p>
    <w:p>
      <w:pPr>
        <w:framePr w:w="874" w:x="1524" w:y="60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侯天法</w:t>
      </w:r>
    </w:p>
    <w:p>
      <w:pPr>
        <w:framePr w:w="874" w:x="1524" w:y="606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李刚</w:t>
      </w:r>
    </w:p>
    <w:p>
      <w:pPr>
        <w:framePr w:w="7210" w:x="2626" w:y="63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曾任潍坊先达化工有限公司制剂车间主任。现任本公司制剂室经理、监事。</w:t>
      </w:r>
    </w:p>
    <w:p>
      <w:pPr>
        <w:framePr w:w="874" w:x="1524" w:y="66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王小丽</w:t>
      </w:r>
    </w:p>
    <w:p>
      <w:pPr>
        <w:framePr w:w="874" w:x="1524" w:y="662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刘相水</w:t>
      </w:r>
    </w:p>
    <w:p>
      <w:pPr>
        <w:framePr w:w="13123" w:x="2626" w:y="66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曾任山东省博兴县科农化工有限公司营销内勤，山东先达化工有限公司营销内勤、人力资源主管等职。现任本公司人事行政部经理、监事。</w:t>
      </w:r>
    </w:p>
    <w:p>
      <w:pPr>
        <w:framePr w:w="13123" w:x="2626" w:y="662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曾任潍坊大成亿利医药化工有限公司总经理，公司总经理。现任潍坊先达总经理、本公司副总经理。</w:t>
      </w:r>
    </w:p>
    <w:p>
      <w:pPr>
        <w:framePr w:w="874" w:x="1524" w:y="73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陈恩昌</w:t>
      </w:r>
    </w:p>
    <w:p>
      <w:pPr>
        <w:framePr w:w="874" w:x="1524" w:y="731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江广同</w:t>
      </w:r>
    </w:p>
    <w:p>
      <w:pPr>
        <w:framePr w:w="6998" w:x="2626" w:y="73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曾任公司市场经理，现任本公司产品与市场中心总监、项目管理部经理。</w:t>
      </w:r>
    </w:p>
    <w:p>
      <w:pPr>
        <w:framePr w:w="11222" w:x="2626" w:y="75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曾任公司财务部经理，山东龙升食品股份有限公司财务总监，公司证券事务代表。现任本公司董事会秘书、财务总监。</w:t>
      </w:r>
    </w:p>
    <w:p>
      <w:pPr>
        <w:framePr w:w="1507" w:x="1524" w:y="81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其它情况说明</w:t>
      </w:r>
    </w:p>
    <w:p>
      <w:pPr>
        <w:framePr w:w="1817" w:x="1524" w:y="8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56" type="#_x0000_t75" style="width:697.6pt;height:2.7pt;margin-top:54.25pt;margin-left:73.75pt;mso-position-horizontal-relative:page;mso-position-vertical-relative:page;position:absolute;z-index:-251296768">
            <v:imagedata r:id="rId115" o:title=""/>
          </v:shape>
        </w:pict>
      </w:r>
      <w:r>
        <w:rPr>
          <w:noProof/>
        </w:rPr>
        <w:pict>
          <v:shape id="_x0000_s1157" type="#_x0000_t75" style="width:775.15pt;height:44.85pt;margin-top:62.55pt;margin-left:39.55pt;mso-position-horizontal-relative:page;mso-position-vertical-relative:page;position:absolute;z-index:-251420672">
            <v:imagedata r:id="rId116" o:title=""/>
          </v:shape>
        </w:pict>
      </w:r>
      <w:r>
        <w:rPr>
          <w:noProof/>
        </w:rPr>
        <w:pict>
          <v:shape id="_x0000_s1158" type="#_x0000_t75" style="width:707pt;height:260.9pt;margin-top:132.6pt;margin-left:69.55pt;mso-position-horizontal-relative:page;mso-position-vertical-relative:page;position:absolute;z-index:-251604992">
            <v:imagedata r:id="rId117" o:title=""/>
          </v:shape>
        </w:pict>
      </w:r>
    </w:p>
    <w:p>
      <w:pPr>
        <w:spacing w:line="0" w:lineRule="atLeast"/>
        <w:rPr>
          <w:rFonts w:ascii="Arial" w:eastAsiaTheme="minorEastAsia" w:hAnsiTheme="minorHAnsi" w:cstheme="minorBidi"/>
          <w:color w:val="FF0000"/>
          <w:sz w:val="2"/>
          <w:szCs w:val="22"/>
          <w:lang w:val="en-US" w:eastAsia="en-US" w:bidi="ar-SA"/>
        </w:rPr>
      </w:pPr>
      <w:bookmarkStart w:id="53" w:name="br1_52"/>
      <w:bookmarkEnd w:id="53"/>
      <w:r>
        <w:rPr>
          <w:rFonts w:ascii="Arial" w:eastAsiaTheme="minorEastAsia" w:hAnsiTheme="minorHAnsi" w:cstheme="minorBidi"/>
          <w:color w:val="FF0000"/>
          <w:sz w:val="2"/>
          <w:szCs w:val="22"/>
          <w:lang w:val="en-US" w:eastAsia="en-US" w:bidi="ar-SA"/>
        </w:rPr>
        <w:t xml:space="preserve"> </w:t>
      </w:r>
    </w:p>
    <w:p>
      <w:pPr>
        <w:framePr w:w="1550" w:x="5550"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5508" w:x="1798" w:y="185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董事、高级管理人员报告期内被授予的股权激励情况</w:t>
      </w:r>
    </w:p>
    <w:p>
      <w:pPr>
        <w:framePr w:w="1817" w:x="1798" w:y="22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220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79" w:x="9897" w:y="27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股</w:t>
      </w:r>
    </w:p>
    <w:p>
      <w:pPr>
        <w:framePr w:w="874" w:x="3533" w:y="3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年初持</w:t>
      </w:r>
    </w:p>
    <w:p>
      <w:pPr>
        <w:framePr w:w="2570" w:x="4460" w:y="3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报告期新授</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限制性股票</w:t>
      </w:r>
    </w:p>
    <w:p>
      <w:pPr>
        <w:framePr w:w="2570" w:x="4460" w:y="316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予限制性股</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的授予价格</w:t>
      </w:r>
    </w:p>
    <w:p>
      <w:pPr>
        <w:framePr w:w="1296" w:x="8928" w:y="3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期末持有限</w:t>
      </w:r>
    </w:p>
    <w:p>
      <w:pPr>
        <w:framePr w:w="874" w:x="3533" w:y="3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有限制</w:t>
      </w:r>
    </w:p>
    <w:p>
      <w:pPr>
        <w:framePr w:w="874" w:x="3533" w:y="330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性股票</w:t>
      </w:r>
    </w:p>
    <w:p>
      <w:pPr>
        <w:framePr w:w="874" w:x="3533" w:y="3300"/>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1793" w:x="7014" w:y="3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已解锁</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未解锁</w:t>
      </w:r>
    </w:p>
    <w:p>
      <w:pPr>
        <w:framePr w:w="1296" w:x="10274" w:y="3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报告期末市</w:t>
      </w:r>
    </w:p>
    <w:p>
      <w:pPr>
        <w:framePr w:w="1296" w:x="10274" w:y="3300"/>
        <w:widowControl w:val="0"/>
        <w:autoSpaceDE w:val="0"/>
        <w:autoSpaceDN w:val="0"/>
        <w:spacing w:before="6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价（元）</w:t>
      </w:r>
    </w:p>
    <w:p>
      <w:pPr>
        <w:framePr w:w="662" w:x="1162" w:y="3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662" w:x="2367" w:y="3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职务</w:t>
      </w:r>
    </w:p>
    <w:p>
      <w:pPr>
        <w:framePr w:w="1296" w:x="8928" w:y="3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制性股票数</w:t>
      </w:r>
    </w:p>
    <w:p>
      <w:pPr>
        <w:framePr w:w="1296" w:x="8928" w:y="3437"/>
        <w:widowControl w:val="0"/>
        <w:autoSpaceDE w:val="0"/>
        <w:autoSpaceDN w:val="0"/>
        <w:spacing w:before="6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p>
      <w:pPr>
        <w:framePr w:w="662" w:x="7120" w:y="3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p>
    <w:p>
      <w:pPr>
        <w:framePr w:w="662" w:x="8039" w:y="3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p>
    <w:p>
      <w:pPr>
        <w:framePr w:w="874" w:x="4671" w:y="37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票数量</w:t>
      </w:r>
    </w:p>
    <w:p>
      <w:pPr>
        <w:framePr w:w="874" w:x="5948" w:y="37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（元）</w:t>
      </w:r>
    </w:p>
    <w:p>
      <w:pPr>
        <w:framePr w:w="662" w:x="1054" w:y="41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门亮</w:t>
      </w:r>
    </w:p>
    <w:p>
      <w:pPr>
        <w:framePr w:w="1507" w:x="1906" w:y="41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董事、总经理</w:t>
      </w:r>
    </w:p>
    <w:p>
      <w:pPr>
        <w:framePr w:w="346" w:x="4131" w:y="41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979" w:x="4784" w:y="41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w:t>
      </w:r>
    </w:p>
    <w:p>
      <w:pPr>
        <w:framePr w:w="979" w:x="4784" w:y="41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w:t>
      </w:r>
    </w:p>
    <w:p>
      <w:pPr>
        <w:framePr w:w="662" w:x="6376" w:y="41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7.91</w:t>
      </w:r>
    </w:p>
    <w:p>
      <w:pPr>
        <w:framePr w:w="1337" w:x="7542" w:y="41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r>
        <w:rPr>
          <w:rFonts w:ascii="SimSun" w:eastAsiaTheme="minorEastAsia" w:hAnsiTheme="minorHAnsi" w:cstheme="minorBidi"/>
          <w:color w:val="000000"/>
          <w:spacing w:val="15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160,000</w:t>
      </w:r>
    </w:p>
    <w:p>
      <w:pPr>
        <w:framePr w:w="1337" w:x="7542" w:y="41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r>
        <w:rPr>
          <w:rFonts w:ascii="SimSun" w:eastAsiaTheme="minorEastAsia" w:hAnsiTheme="minorHAnsi" w:cstheme="minorBidi"/>
          <w:color w:val="000000"/>
          <w:spacing w:val="15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100,000</w:t>
      </w:r>
    </w:p>
    <w:p>
      <w:pPr>
        <w:framePr w:w="979" w:x="9321" w:y="41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w:t>
      </w:r>
    </w:p>
    <w:p>
      <w:pPr>
        <w:framePr w:w="979" w:x="9321" w:y="41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w:t>
      </w:r>
    </w:p>
    <w:p>
      <w:pPr>
        <w:framePr w:w="768" w:x="10804" w:y="41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15.55</w:t>
      </w:r>
    </w:p>
    <w:p>
      <w:pPr>
        <w:framePr w:w="768" w:x="10804" w:y="41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15.55</w:t>
      </w:r>
    </w:p>
    <w:p>
      <w:pPr>
        <w:framePr w:w="2438" w:x="1054" w:y="44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姚长明</w:t>
      </w:r>
      <w:r>
        <w:rPr>
          <w:rFonts w:eastAsiaTheme="minorEastAsia" w:hAnsiTheme="minorHAnsi" w:cstheme="minorBidi"/>
          <w:color w:val="000000"/>
          <w:spacing w:val="166"/>
          <w:sz w:val="21"/>
          <w:szCs w:val="22"/>
          <w:lang w:val="en-US" w:eastAsia="en-US" w:bidi="ar-SA"/>
        </w:rPr>
        <w:t xml:space="preserve"> </w:t>
      </w:r>
      <w:r>
        <w:rPr>
          <w:rFonts w:ascii="SimSun" w:hAnsi="SimSun" w:eastAsiaTheme="minorEastAsia" w:cs="SimSun"/>
          <w:color w:val="000000"/>
          <w:spacing w:val="17"/>
          <w:sz w:val="21"/>
          <w:szCs w:val="22"/>
          <w:lang w:val="en-US" w:eastAsia="en-US" w:bidi="ar-SA"/>
        </w:rPr>
        <w:t>董事、副总经</w:t>
      </w:r>
    </w:p>
    <w:p>
      <w:pPr>
        <w:framePr w:w="2438" w:x="1054" w:y="4411"/>
        <w:widowControl w:val="0"/>
        <w:autoSpaceDE w:val="0"/>
        <w:autoSpaceDN w:val="0"/>
        <w:spacing w:before="60" w:line="211" w:lineRule="exact"/>
        <w:ind w:left="85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w:t>
      </w:r>
    </w:p>
    <w:p>
      <w:pPr>
        <w:framePr w:w="346" w:x="4131" w:y="44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662" w:x="6376" w:y="44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7.91</w:t>
      </w:r>
    </w:p>
    <w:p>
      <w:pPr>
        <w:framePr w:w="2438" w:x="1054" w:y="4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刘相水</w:t>
      </w:r>
      <w:r>
        <w:rPr>
          <w:rFonts w:eastAsiaTheme="minorEastAsia" w:hAnsiTheme="minorHAnsi" w:cstheme="minorBidi"/>
          <w:color w:val="000000"/>
          <w:spacing w:val="166"/>
          <w:sz w:val="21"/>
          <w:szCs w:val="22"/>
          <w:lang w:val="en-US" w:eastAsia="en-US" w:bidi="ar-SA"/>
        </w:rPr>
        <w:t xml:space="preserve"> </w:t>
      </w:r>
      <w:r>
        <w:rPr>
          <w:rFonts w:ascii="SimSun" w:hAnsi="SimSun" w:eastAsiaTheme="minorEastAsia" w:cs="SimSun"/>
          <w:color w:val="000000"/>
          <w:sz w:val="21"/>
          <w:szCs w:val="22"/>
          <w:lang w:val="en-US" w:eastAsia="en-US" w:bidi="ar-SA"/>
        </w:rPr>
        <w:t>副总经理</w:t>
      </w:r>
    </w:p>
    <w:p>
      <w:pPr>
        <w:framePr w:w="2438" w:x="1054" w:y="496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陈恩昌</w:t>
      </w:r>
      <w:r>
        <w:rPr>
          <w:rFonts w:eastAsiaTheme="minorEastAsia" w:hAnsiTheme="minorHAnsi" w:cstheme="minorBidi"/>
          <w:color w:val="000000"/>
          <w:spacing w:val="166"/>
          <w:sz w:val="21"/>
          <w:szCs w:val="22"/>
          <w:lang w:val="en-US" w:eastAsia="en-US" w:bidi="ar-SA"/>
        </w:rPr>
        <w:t xml:space="preserve"> </w:t>
      </w:r>
      <w:r>
        <w:rPr>
          <w:rFonts w:ascii="SimSun" w:hAnsi="SimSun" w:eastAsiaTheme="minorEastAsia" w:cs="SimSun"/>
          <w:color w:val="000000"/>
          <w:sz w:val="21"/>
          <w:szCs w:val="22"/>
          <w:lang w:val="en-US" w:eastAsia="en-US" w:bidi="ar-SA"/>
        </w:rPr>
        <w:t>副总经理</w:t>
      </w:r>
    </w:p>
    <w:p>
      <w:pPr>
        <w:framePr w:w="2438" w:x="1054" w:y="496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江广同</w:t>
      </w:r>
      <w:r>
        <w:rPr>
          <w:rFonts w:eastAsiaTheme="minorEastAsia" w:hAnsiTheme="minorHAnsi" w:cstheme="minorBidi"/>
          <w:color w:val="000000"/>
          <w:spacing w:val="166"/>
          <w:sz w:val="21"/>
          <w:szCs w:val="22"/>
          <w:lang w:val="en-US" w:eastAsia="en-US" w:bidi="ar-SA"/>
        </w:rPr>
        <w:t xml:space="preserve"> </w:t>
      </w:r>
      <w:r>
        <w:rPr>
          <w:rFonts w:ascii="SimSun" w:hAnsi="SimSun" w:eastAsiaTheme="minorEastAsia" w:cs="SimSun"/>
          <w:color w:val="000000"/>
          <w:spacing w:val="17"/>
          <w:sz w:val="21"/>
          <w:szCs w:val="22"/>
          <w:lang w:val="en-US" w:eastAsia="en-US" w:bidi="ar-SA"/>
        </w:rPr>
        <w:t>董事会秘书、</w:t>
      </w:r>
    </w:p>
    <w:p>
      <w:pPr>
        <w:framePr w:w="2438" w:x="1054" w:y="4965"/>
        <w:widowControl w:val="0"/>
        <w:autoSpaceDE w:val="0"/>
        <w:autoSpaceDN w:val="0"/>
        <w:spacing w:before="62" w:line="211" w:lineRule="exact"/>
        <w:ind w:left="85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财务总监</w:t>
      </w:r>
    </w:p>
    <w:p>
      <w:pPr>
        <w:framePr w:w="346" w:x="4131" w:y="49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4131" w:y="496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4131" w:y="496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979" w:x="4784" w:y="49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w:t>
      </w:r>
    </w:p>
    <w:p>
      <w:pPr>
        <w:framePr w:w="979" w:x="4784" w:y="4965"/>
        <w:widowControl w:val="0"/>
        <w:autoSpaceDE w:val="0"/>
        <w:autoSpaceDN w:val="0"/>
        <w:spacing w:before="70"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80,000</w:t>
      </w:r>
    </w:p>
    <w:p>
      <w:pPr>
        <w:framePr w:w="979" w:x="4784" w:y="4965"/>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70,000</w:t>
      </w:r>
    </w:p>
    <w:p>
      <w:pPr>
        <w:framePr w:w="662" w:x="6376" w:y="49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7.91</w:t>
      </w:r>
    </w:p>
    <w:p>
      <w:pPr>
        <w:framePr w:w="662" w:x="6376" w:y="496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7.91</w:t>
      </w:r>
    </w:p>
    <w:p>
      <w:pPr>
        <w:framePr w:w="662" w:x="6376" w:y="496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7.91</w:t>
      </w:r>
    </w:p>
    <w:p>
      <w:pPr>
        <w:framePr w:w="1337" w:x="7542" w:y="49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r>
        <w:rPr>
          <w:rFonts w:ascii="SimSun" w:eastAsiaTheme="minorEastAsia" w:hAnsiTheme="minorHAnsi" w:cstheme="minorBidi"/>
          <w:color w:val="000000"/>
          <w:spacing w:val="15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130,000</w:t>
      </w:r>
    </w:p>
    <w:p>
      <w:pPr>
        <w:framePr w:w="1337" w:x="7542" w:y="496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r>
        <w:rPr>
          <w:rFonts w:ascii="SimSun" w:eastAsiaTheme="minorEastAsia" w:hAnsiTheme="minorHAnsi" w:cstheme="minorBidi"/>
          <w:color w:val="000000"/>
          <w:spacing w:val="25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80,000</w:t>
      </w:r>
    </w:p>
    <w:p>
      <w:pPr>
        <w:framePr w:w="1337" w:x="7542" w:y="496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r>
        <w:rPr>
          <w:rFonts w:ascii="SimSun" w:eastAsiaTheme="minorEastAsia" w:hAnsiTheme="minorHAnsi" w:cstheme="minorBidi"/>
          <w:color w:val="000000"/>
          <w:spacing w:val="25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70,000</w:t>
      </w:r>
    </w:p>
    <w:p>
      <w:pPr>
        <w:framePr w:w="979" w:x="9321" w:y="49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w:t>
      </w:r>
    </w:p>
    <w:p>
      <w:pPr>
        <w:framePr w:w="979" w:x="9321" w:y="4965"/>
        <w:widowControl w:val="0"/>
        <w:autoSpaceDE w:val="0"/>
        <w:autoSpaceDN w:val="0"/>
        <w:spacing w:before="70"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80,000</w:t>
      </w:r>
    </w:p>
    <w:p>
      <w:pPr>
        <w:framePr w:w="979" w:x="9321" w:y="4965"/>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70,000</w:t>
      </w:r>
    </w:p>
    <w:p>
      <w:pPr>
        <w:framePr w:w="768" w:x="10804" w:y="49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15.55</w:t>
      </w:r>
    </w:p>
    <w:p>
      <w:pPr>
        <w:framePr w:w="768" w:x="10804" w:y="496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15.55</w:t>
      </w:r>
    </w:p>
    <w:p>
      <w:pPr>
        <w:framePr w:w="768" w:x="10804" w:y="496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15.55</w:t>
      </w:r>
    </w:p>
    <w:p>
      <w:pPr>
        <w:framePr w:w="662" w:x="1162" w:y="60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46" w:x="2525" w:y="60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979" w:x="4784" w:y="60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540,000</w:t>
      </w:r>
    </w:p>
    <w:p>
      <w:pPr>
        <w:framePr w:w="346" w:x="6210" w:y="60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979" w:x="7902" w:y="60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540,000</w:t>
      </w:r>
    </w:p>
    <w:p>
      <w:pPr>
        <w:framePr w:w="979" w:x="9321" w:y="60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540,000</w:t>
      </w:r>
    </w:p>
    <w:p>
      <w:pPr>
        <w:framePr w:w="346" w:x="10747" w:y="60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6154" w:x="1798" w:y="67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二、现任及报告期内离任董事、监事和高级管理人员的任职情况</w:t>
      </w:r>
    </w:p>
    <w:p>
      <w:pPr>
        <w:framePr w:w="6154" w:x="1798" w:y="6759"/>
        <w:widowControl w:val="0"/>
        <w:autoSpaceDE w:val="0"/>
        <w:autoSpaceDN w:val="0"/>
        <w:spacing w:before="300"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在股东单位任职情况</w:t>
      </w:r>
    </w:p>
    <w:p>
      <w:pPr>
        <w:framePr w:w="1817" w:x="1798" w:y="78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6" w:x="1798" w:y="832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在其他单位任职情况</w:t>
      </w:r>
    </w:p>
    <w:p>
      <w:pPr>
        <w:framePr w:w="2136" w:x="1479" w:y="8873"/>
        <w:widowControl w:val="0"/>
        <w:autoSpaceDE w:val="0"/>
        <w:autoSpaceDN w:val="0"/>
        <w:spacing w:line="211" w:lineRule="exact"/>
        <w:ind w:left="31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36" w:x="1479" w:y="8873"/>
        <w:widowControl w:val="0"/>
        <w:autoSpaceDE w:val="0"/>
        <w:autoSpaceDN w:val="0"/>
        <w:spacing w:before="209" w:line="211" w:lineRule="exact"/>
        <w:ind w:left="11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任职人员姓名</w:t>
      </w:r>
    </w:p>
    <w:p>
      <w:pPr>
        <w:framePr w:w="2136" w:x="1479" w:y="8873"/>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刘峰</w:t>
      </w:r>
    </w:p>
    <w:p>
      <w:pPr>
        <w:framePr w:w="1296" w:x="6366" w:y="91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在其他单位</w:t>
      </w:r>
    </w:p>
    <w:p>
      <w:pPr>
        <w:framePr w:w="1507" w:x="4002" w:y="9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其他单位名称</w:t>
      </w:r>
    </w:p>
    <w:p>
      <w:pPr>
        <w:framePr w:w="3078" w:x="7768" w:y="9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任期起始日期</w:t>
      </w:r>
      <w:r>
        <w:rPr>
          <w:rFonts w:eastAsiaTheme="minorEastAsia" w:hAnsiTheme="minorHAnsi" w:cstheme="minorBidi"/>
          <w:color w:val="000000"/>
          <w:spacing w:val="261"/>
          <w:sz w:val="21"/>
          <w:szCs w:val="22"/>
          <w:lang w:val="en-US" w:eastAsia="en-US" w:bidi="ar-SA"/>
        </w:rPr>
        <w:t xml:space="preserve"> </w:t>
      </w:r>
      <w:r>
        <w:rPr>
          <w:rFonts w:ascii="SimSun" w:hAnsi="SimSun" w:eastAsiaTheme="minorEastAsia" w:cs="SimSun"/>
          <w:color w:val="000000"/>
          <w:sz w:val="21"/>
          <w:szCs w:val="22"/>
          <w:lang w:val="en-US" w:eastAsia="en-US" w:bidi="ar-SA"/>
        </w:rPr>
        <w:t>任期终止日期</w:t>
      </w:r>
    </w:p>
    <w:p>
      <w:pPr>
        <w:framePr w:w="1358" w:x="6301" w:y="9428"/>
        <w:widowControl w:val="0"/>
        <w:autoSpaceDE w:val="0"/>
        <w:autoSpaceDN w:val="0"/>
        <w:spacing w:line="211" w:lineRule="exact"/>
        <w:ind w:left="6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担任的职务</w:t>
      </w:r>
    </w:p>
    <w:p>
      <w:pPr>
        <w:framePr w:w="1358" w:x="6301" w:y="942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教授</w:t>
      </w:r>
    </w:p>
    <w:p>
      <w:pPr>
        <w:framePr w:w="1507" w:x="3180" w:y="97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山东农业大学</w:t>
      </w:r>
    </w:p>
    <w:p>
      <w:pPr>
        <w:framePr w:w="1344" w:x="7698" w:y="97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1992</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7</w:t>
      </w:r>
      <w:r>
        <w:rPr>
          <w:rFonts w:ascii="SimSun" w:hAnsi="SimSun" w:eastAsiaTheme="minorEastAsia" w:cs="SimSun"/>
          <w:color w:val="000000"/>
          <w:sz w:val="21"/>
          <w:szCs w:val="22"/>
          <w:lang w:val="en-US" w:eastAsia="en-US" w:bidi="ar-SA"/>
        </w:rPr>
        <w:t>月</w:t>
      </w:r>
    </w:p>
    <w:p>
      <w:pPr>
        <w:framePr w:w="1344" w:x="7698" w:y="971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p>
    <w:p>
      <w:pPr>
        <w:framePr w:w="874" w:x="1479"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孙宗彬</w:t>
      </w:r>
    </w:p>
    <w:p>
      <w:pPr>
        <w:framePr w:w="3995" w:x="3180"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4"/>
          <w:sz w:val="21"/>
          <w:szCs w:val="22"/>
          <w:lang w:val="en-US" w:eastAsia="en-US" w:bidi="ar-SA"/>
        </w:rPr>
        <w:t>中一会计师事务所有限责任公</w:t>
      </w:r>
      <w:r>
        <w:rPr>
          <w:rFonts w:eastAsiaTheme="minorEastAsia" w:hAnsiTheme="minorHAnsi" w:cstheme="minorBidi"/>
          <w:color w:val="000000"/>
          <w:spacing w:val="1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合伙人</w:t>
      </w:r>
    </w:p>
    <w:p>
      <w:pPr>
        <w:framePr w:w="3995" w:x="3180" w:y="999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司济南分所</w:t>
      </w:r>
    </w:p>
    <w:p>
      <w:pPr>
        <w:framePr w:w="874" w:x="1479" w:y="105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孙宗彬</w:t>
      </w:r>
    </w:p>
    <w:p>
      <w:pPr>
        <w:framePr w:w="874" w:x="1479" w:y="105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仲涛</w:t>
      </w:r>
    </w:p>
    <w:p>
      <w:pPr>
        <w:framePr w:w="2774" w:x="3180" w:y="105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山东鲁抗医药股份有限公司</w:t>
      </w:r>
    </w:p>
    <w:p>
      <w:pPr>
        <w:framePr w:w="2774" w:x="3180" w:y="105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国浩律师（济南）事务所</w:t>
      </w:r>
    </w:p>
    <w:p>
      <w:pPr>
        <w:framePr w:w="2774" w:x="3180" w:y="105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山东农业大学</w:t>
      </w:r>
    </w:p>
    <w:p>
      <w:pPr>
        <w:framePr w:w="1085" w:x="6301" w:y="105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独立董事</w:t>
      </w:r>
    </w:p>
    <w:p>
      <w:pPr>
        <w:framePr w:w="1085" w:x="6301" w:y="105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合伙人</w:t>
      </w:r>
    </w:p>
    <w:p>
      <w:pPr>
        <w:framePr w:w="1085" w:x="6301" w:y="105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教授</w:t>
      </w:r>
    </w:p>
    <w:p>
      <w:pPr>
        <w:framePr w:w="1344" w:x="7698" w:y="105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p>
    <w:p>
      <w:pPr>
        <w:framePr w:w="1344" w:x="7698" w:y="105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2016</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月</w:t>
      </w:r>
    </w:p>
    <w:p>
      <w:pPr>
        <w:framePr w:w="1344" w:x="7698" w:y="105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1991</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7</w:t>
      </w:r>
      <w:r>
        <w:rPr>
          <w:rFonts w:ascii="SimSun" w:hAnsi="SimSun" w:eastAsiaTheme="minorEastAsia" w:cs="SimSun"/>
          <w:color w:val="000000"/>
          <w:sz w:val="21"/>
          <w:szCs w:val="22"/>
          <w:lang w:val="en-US" w:eastAsia="en-US" w:bidi="ar-SA"/>
        </w:rPr>
        <w:t>月</w:t>
      </w:r>
    </w:p>
    <w:p>
      <w:pPr>
        <w:framePr w:w="1344" w:x="7698" w:y="105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月</w:t>
      </w:r>
    </w:p>
    <w:p>
      <w:pPr>
        <w:framePr w:w="874" w:x="1479" w:y="111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王金信</w:t>
      </w:r>
    </w:p>
    <w:p>
      <w:pPr>
        <w:framePr w:w="874" w:x="1479" w:y="1111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王申健</w:t>
      </w:r>
    </w:p>
    <w:p>
      <w:pPr>
        <w:framePr w:w="3995" w:x="3180" w:y="11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4"/>
          <w:sz w:val="21"/>
          <w:szCs w:val="22"/>
          <w:lang w:val="en-US" w:eastAsia="en-US" w:bidi="ar-SA"/>
        </w:rPr>
        <w:t>杭州方正多策投资管理合伙企</w:t>
      </w:r>
      <w:r>
        <w:rPr>
          <w:rFonts w:eastAsiaTheme="minorEastAsia" w:hAnsiTheme="minorHAnsi" w:cstheme="minorBidi"/>
          <w:color w:val="000000"/>
          <w:spacing w:val="1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分析员</w:t>
      </w:r>
    </w:p>
    <w:p>
      <w:pPr>
        <w:framePr w:w="1718" w:x="3180" w:y="116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业（有限合伙）</w:t>
      </w:r>
    </w:p>
    <w:p>
      <w:pPr>
        <w:framePr w:w="1718" w:x="3180" w:y="1166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727" w:x="1479" w:y="119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在其他单位任职</w:t>
      </w:r>
    </w:p>
    <w:p>
      <w:pPr>
        <w:framePr w:w="1727" w:x="1479" w:y="1195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情况的说明</w:t>
      </w:r>
    </w:p>
    <w:p>
      <w:pPr>
        <w:framePr w:w="4042" w:x="1798" w:y="128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三、董事、监事、高级管理人员报酬情况</w:t>
      </w:r>
    </w:p>
    <w:p>
      <w:pPr>
        <w:framePr w:w="4042" w:x="1798" w:y="12897"/>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253" w:x="1620" w:y="137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董事、监事、高级管理人员报酬</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pacing w:val="-3"/>
          <w:sz w:val="21"/>
          <w:szCs w:val="22"/>
          <w:lang w:val="en-US" w:eastAsia="en-US" w:bidi="ar-SA"/>
        </w:rPr>
        <w:t>董事、监事的报酬由公司股东大会决定；高级管理人员报酬由公</w:t>
      </w:r>
    </w:p>
    <w:p>
      <w:pPr>
        <w:framePr w:w="9253" w:x="1620" w:y="1370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的决策程序</w:t>
      </w:r>
      <w:r>
        <w:rPr>
          <w:rFonts w:eastAsiaTheme="minorEastAsia" w:hAnsiTheme="minorHAnsi" w:cstheme="minorBidi"/>
          <w:color w:val="000000"/>
          <w:spacing w:val="2113"/>
          <w:sz w:val="21"/>
          <w:szCs w:val="22"/>
          <w:lang w:val="en-US" w:eastAsia="en-US" w:bidi="ar-SA"/>
        </w:rPr>
        <w:t xml:space="preserve"> </w:t>
      </w:r>
      <w:r>
        <w:rPr>
          <w:rFonts w:ascii="SimSun" w:hAnsi="SimSun" w:eastAsiaTheme="minorEastAsia" w:cs="SimSun"/>
          <w:color w:val="000000"/>
          <w:sz w:val="21"/>
          <w:szCs w:val="22"/>
          <w:lang w:val="en-US" w:eastAsia="en-US" w:bidi="ar-SA"/>
        </w:rPr>
        <w:t>司董事会决定。</w:t>
      </w:r>
    </w:p>
    <w:p>
      <w:pPr>
        <w:framePr w:w="7453" w:x="1620" w:y="142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董事、监事、高级管理人员报酬</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z w:val="21"/>
          <w:szCs w:val="22"/>
          <w:lang w:val="en-US" w:eastAsia="en-US" w:bidi="ar-SA"/>
        </w:rPr>
        <w:t>依据公司的薪酬方案和个人绩效情况确定。</w:t>
      </w:r>
    </w:p>
    <w:p>
      <w:pPr>
        <w:framePr w:w="7453" w:x="1620" w:y="1426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确定依据</w:t>
      </w:r>
    </w:p>
    <w:p>
      <w:pPr>
        <w:framePr w:w="9256" w:x="1620" w:y="148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董事、监事和高级管理人员报酬</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pacing w:val="-3"/>
          <w:sz w:val="21"/>
          <w:szCs w:val="22"/>
          <w:lang w:val="en-US" w:eastAsia="en-US" w:bidi="ar-SA"/>
        </w:rPr>
        <w:t>非独立董事、监事和高级管理人员按月度和年度绩效完成情况领</w:t>
      </w:r>
    </w:p>
    <w:p>
      <w:pPr>
        <w:framePr w:w="1718" w:x="1620" w:y="150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的实际支付情况</w:t>
      </w:r>
    </w:p>
    <w:p>
      <w:pPr>
        <w:framePr w:w="3619" w:x="4839" w:y="150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取薪酬；独立董事按年度领取报酬。</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9" type="#_x0000_t75" style="width:445.6pt;height:2.7pt;margin-top:53.3pt;margin-left:87.45pt;mso-position-horizontal-relative:page;mso-position-vertical-relative:page;position:absolute;z-index:-251217920">
            <v:imagedata r:id="rId118" o:title=""/>
          </v:shape>
        </w:pict>
      </w:r>
      <w:r>
        <w:rPr>
          <w:noProof/>
        </w:rPr>
        <w:pict>
          <v:shape id="_x0000_s1160" type="#_x0000_t75" style="width:527.1pt;height:169.45pt;margin-top:148.45pt;margin-left:46.05pt;mso-position-horizontal-relative:page;mso-position-vertical-relative:page;position:absolute;z-index:-251295744">
            <v:imagedata r:id="rId119" o:title=""/>
          </v:shape>
        </w:pict>
      </w:r>
      <w:r>
        <w:rPr>
          <w:noProof/>
        </w:rPr>
        <w:pict>
          <v:shape id="_x0000_s1161" type="#_x0000_t75" style="width:470.9pt;height:169.9pt;margin-top:454.85pt;margin-left:67.3pt;mso-position-horizontal-relative:page;mso-position-vertical-relative:page;position:absolute;z-index:-251419648">
            <v:imagedata r:id="rId120" o:title=""/>
          </v:shape>
        </w:pict>
      </w:r>
      <w:r>
        <w:rPr>
          <w:noProof/>
        </w:rPr>
        <w:pict>
          <v:shape id="_x0000_s1162" type="#_x0000_t75" style="width:463.7pt;height:85.75pt;margin-top:682.4pt;margin-left:74.5pt;mso-position-horizontal-relative:page;mso-position-vertical-relative:page;position:absolute;z-index:-251603968">
            <v:imagedata r:id="rId121" o:title=""/>
          </v:shape>
        </w:pict>
      </w:r>
    </w:p>
    <w:p>
      <w:pPr>
        <w:spacing w:line="0" w:lineRule="atLeast"/>
        <w:rPr>
          <w:rFonts w:ascii="Arial" w:eastAsiaTheme="minorEastAsia" w:hAnsiTheme="minorHAnsi" w:cstheme="minorBidi"/>
          <w:color w:val="FF0000"/>
          <w:sz w:val="2"/>
          <w:szCs w:val="22"/>
          <w:lang w:val="en-US" w:eastAsia="en-US" w:bidi="ar-SA"/>
        </w:rPr>
      </w:pPr>
      <w:bookmarkStart w:id="54" w:name="br1_53"/>
      <w:bookmarkEnd w:id="54"/>
      <w:r>
        <w:rPr>
          <w:rFonts w:ascii="Arial" w:eastAsiaTheme="minorEastAsia" w:hAnsiTheme="minorHAnsi" w:cstheme="minorBidi"/>
          <w:color w:val="FF0000"/>
          <w:sz w:val="2"/>
          <w:szCs w:val="22"/>
          <w:lang w:val="en-US" w:eastAsia="en-US" w:bidi="ar-SA"/>
        </w:rPr>
        <w:t xml:space="preserve"> </w:t>
      </w:r>
    </w:p>
    <w:p>
      <w:pPr>
        <w:framePr w:w="1550" w:x="5550"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247" w:x="1620"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报告期末全体董事、监事和高级</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pacing w:val="4"/>
          <w:sz w:val="21"/>
          <w:szCs w:val="22"/>
          <w:lang w:val="en-US" w:eastAsia="en-US" w:bidi="ar-SA"/>
        </w:rPr>
        <w:t>报告期末全体董事、监事和高级管理人员实际获得的报酬合计</w:t>
      </w:r>
    </w:p>
    <w:p>
      <w:pPr>
        <w:framePr w:w="2986" w:x="1620"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管理人员实际获得的报酬合计</w:t>
      </w:r>
    </w:p>
    <w:p>
      <w:pPr>
        <w:framePr w:w="1555" w:x="4839"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319.90</w:t>
      </w:r>
      <w:r>
        <w:rPr>
          <w:rFonts w:ascii="SimSun" w:hAnsi="SimSun" w:eastAsiaTheme="minorEastAsia" w:cs="SimSun"/>
          <w:color w:val="000000"/>
          <w:sz w:val="21"/>
          <w:szCs w:val="22"/>
          <w:lang w:val="en-US" w:eastAsia="en-US" w:bidi="ar-SA"/>
        </w:rPr>
        <w:t>万元。</w:t>
      </w:r>
    </w:p>
    <w:p>
      <w:pPr>
        <w:framePr w:w="4464" w:x="1798" w:y="24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四、公司董事、监事、高级管理人员变动情况</w:t>
      </w:r>
    </w:p>
    <w:p>
      <w:pPr>
        <w:framePr w:w="4464" w:x="1798" w:y="249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2600" w:y="3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1296" w:x="4568" w:y="3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担任的职务</w:t>
      </w:r>
    </w:p>
    <w:p>
      <w:pPr>
        <w:framePr w:w="1085" w:x="6957" w:y="3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变动情形</w:t>
      </w:r>
    </w:p>
    <w:p>
      <w:pPr>
        <w:framePr w:w="1676" w:x="8605" w:y="3304"/>
        <w:widowControl w:val="0"/>
        <w:autoSpaceDE w:val="0"/>
        <w:autoSpaceDN w:val="0"/>
        <w:spacing w:line="211" w:lineRule="exact"/>
        <w:ind w:left="59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变动原因</w:t>
      </w:r>
    </w:p>
    <w:p>
      <w:pPr>
        <w:framePr w:w="1676" w:x="8605" w:y="33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补选董事</w:t>
      </w:r>
    </w:p>
    <w:p>
      <w:pPr>
        <w:framePr w:w="874" w:x="1798" w:y="3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王申健</w:t>
      </w:r>
    </w:p>
    <w:p>
      <w:pPr>
        <w:framePr w:w="874" w:x="1798" w:y="35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刘峰</w:t>
      </w:r>
    </w:p>
    <w:p>
      <w:pPr>
        <w:framePr w:w="662" w:x="4038" w:y="3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662" w:x="6366" w:y="3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选举</w:t>
      </w:r>
    </w:p>
    <w:p>
      <w:pPr>
        <w:framePr w:w="662" w:x="6366" w:y="35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选举</w:t>
      </w:r>
    </w:p>
    <w:p>
      <w:pPr>
        <w:framePr w:w="662" w:x="6366" w:y="3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聘任</w:t>
      </w:r>
    </w:p>
    <w:p>
      <w:pPr>
        <w:framePr w:w="662" w:x="6366" w:y="3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选举</w:t>
      </w:r>
    </w:p>
    <w:p>
      <w:pPr>
        <w:framePr w:w="662" w:x="6366" w:y="35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聘任</w:t>
      </w:r>
    </w:p>
    <w:p>
      <w:pPr>
        <w:framePr w:w="662" w:x="6366" w:y="3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离任</w:t>
      </w:r>
    </w:p>
    <w:p>
      <w:pPr>
        <w:framePr w:w="662" w:x="6366" w:y="3588"/>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聘任</w:t>
      </w:r>
    </w:p>
    <w:p>
      <w:pPr>
        <w:framePr w:w="662" w:x="6366" w:y="35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离任</w:t>
      </w:r>
    </w:p>
    <w:p>
      <w:pPr>
        <w:framePr w:w="662" w:x="6366" w:y="35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离任</w:t>
      </w:r>
    </w:p>
    <w:p>
      <w:pPr>
        <w:framePr w:w="662" w:x="6366" w:y="35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离任</w:t>
      </w:r>
    </w:p>
    <w:p>
      <w:pPr>
        <w:framePr w:w="1085" w:x="4038" w:y="3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独立董事</w:t>
      </w:r>
    </w:p>
    <w:p>
      <w:pPr>
        <w:framePr w:w="1085" w:x="4038" w:y="38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总经理</w:t>
      </w:r>
    </w:p>
    <w:p>
      <w:pPr>
        <w:framePr w:w="1085" w:x="8605" w:y="3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换届选举</w:t>
      </w:r>
    </w:p>
    <w:p>
      <w:pPr>
        <w:framePr w:w="1085" w:x="8605" w:y="38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工作调整</w:t>
      </w:r>
    </w:p>
    <w:p>
      <w:pPr>
        <w:framePr w:w="1085" w:x="8605" w:y="38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换届选举</w:t>
      </w:r>
    </w:p>
    <w:p>
      <w:pPr>
        <w:framePr w:w="1085" w:x="8605" w:y="38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工作调整</w:t>
      </w:r>
    </w:p>
    <w:p>
      <w:pPr>
        <w:framePr w:w="1085" w:x="8605" w:y="38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工作调整</w:t>
      </w:r>
    </w:p>
    <w:p>
      <w:pPr>
        <w:framePr w:w="1085" w:x="8605" w:y="3869"/>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工作调整</w:t>
      </w:r>
    </w:p>
    <w:p>
      <w:pPr>
        <w:framePr w:w="1085" w:x="8605" w:y="38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个人原因</w:t>
      </w:r>
    </w:p>
    <w:p>
      <w:pPr>
        <w:framePr w:w="1085" w:x="8605" w:y="38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工作调整</w:t>
      </w:r>
    </w:p>
    <w:p>
      <w:pPr>
        <w:framePr w:w="1085" w:x="8605" w:y="38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届满离任</w:t>
      </w:r>
    </w:p>
    <w:p>
      <w:pPr>
        <w:framePr w:w="662" w:x="1798" w:y="41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门亮</w:t>
      </w:r>
    </w:p>
    <w:p>
      <w:pPr>
        <w:framePr w:w="662" w:x="1798" w:y="4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门亮</w:t>
      </w:r>
    </w:p>
    <w:p>
      <w:pPr>
        <w:framePr w:w="662" w:x="4038" w:y="4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874" w:x="1798" w:y="47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刘相水</w:t>
      </w:r>
    </w:p>
    <w:p>
      <w:pPr>
        <w:framePr w:w="874" w:x="1798" w:y="471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刘相水</w:t>
      </w:r>
    </w:p>
    <w:p>
      <w:pPr>
        <w:framePr w:w="874" w:x="1798" w:y="4716"/>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陈恩昌</w:t>
      </w:r>
    </w:p>
    <w:p>
      <w:pPr>
        <w:framePr w:w="874" w:x="1798" w:y="471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李壮</w:t>
      </w:r>
    </w:p>
    <w:p>
      <w:pPr>
        <w:framePr w:w="1085" w:x="4038" w:y="47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副总经理</w:t>
      </w:r>
    </w:p>
    <w:p>
      <w:pPr>
        <w:framePr w:w="1085" w:x="4038" w:y="471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总经理</w:t>
      </w:r>
    </w:p>
    <w:p>
      <w:pPr>
        <w:framePr w:w="1718" w:x="4038" w:y="52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副总经理</w:t>
      </w:r>
    </w:p>
    <w:p>
      <w:pPr>
        <w:framePr w:w="1718" w:x="4038" w:y="52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董事、副总经理</w:t>
      </w:r>
    </w:p>
    <w:p>
      <w:pPr>
        <w:framePr w:w="1718" w:x="4038" w:y="52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董事、副总经理</w:t>
      </w:r>
    </w:p>
    <w:p>
      <w:pPr>
        <w:framePr w:w="1718" w:x="4038" w:y="52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独立董事</w:t>
      </w:r>
    </w:p>
    <w:p>
      <w:pPr>
        <w:framePr w:w="874" w:x="1798" w:y="58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陈鸣宇</w:t>
      </w:r>
    </w:p>
    <w:p>
      <w:pPr>
        <w:framePr w:w="874" w:x="1798" w:y="58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王金信</w:t>
      </w:r>
    </w:p>
    <w:p>
      <w:pPr>
        <w:framePr w:w="4253" w:x="1798" w:y="65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五、近三年受证券监管机构处罚的情况说明</w:t>
      </w:r>
    </w:p>
    <w:p>
      <w:pPr>
        <w:framePr w:w="4253" w:x="1798" w:y="653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7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六、母公司和主要子公司的员工情况</w:t>
      </w:r>
    </w:p>
    <w:p>
      <w:pPr>
        <w:framePr w:w="3619" w:x="1798" w:y="7589"/>
        <w:widowControl w:val="0"/>
        <w:autoSpaceDE w:val="0"/>
        <w:autoSpaceDN w:val="0"/>
        <w:spacing w:before="297"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员工情况</w:t>
      </w:r>
    </w:p>
    <w:p>
      <w:pPr>
        <w:framePr w:w="2774" w:x="1798" w:y="8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母公司在职员工的数量</w:t>
      </w:r>
    </w:p>
    <w:p>
      <w:pPr>
        <w:framePr w:w="2774" w:x="1798" w:y="845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主要子公司在职员工的数量</w:t>
      </w:r>
    </w:p>
    <w:p>
      <w:pPr>
        <w:framePr w:w="2774" w:x="1798" w:y="845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在职员工的数量合计</w:t>
      </w:r>
    </w:p>
    <w:p>
      <w:pPr>
        <w:framePr w:w="768" w:x="10106" w:y="8458"/>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367</w:t>
      </w:r>
    </w:p>
    <w:p>
      <w:pPr>
        <w:framePr w:w="768" w:x="10106" w:y="84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1,147</w:t>
      </w:r>
    </w:p>
    <w:p>
      <w:pPr>
        <w:framePr w:w="768" w:x="10106" w:y="84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1,526</w:t>
      </w:r>
    </w:p>
    <w:p>
      <w:pPr>
        <w:framePr w:w="768" w:x="10106" w:y="8458"/>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4553" w:x="1798" w:y="93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母公司及主要子公司需承担费用的离退休职工</w:t>
      </w:r>
    </w:p>
    <w:p>
      <w:pPr>
        <w:framePr w:w="4553" w:x="1798" w:y="930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人数</w:t>
      </w:r>
    </w:p>
    <w:p>
      <w:pPr>
        <w:framePr w:w="1085" w:x="5795" w:y="98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专业构成</w:t>
      </w:r>
    </w:p>
    <w:p>
      <w:pPr>
        <w:framePr w:w="1507" w:x="3322" w:y="101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专业构成类别</w:t>
      </w:r>
    </w:p>
    <w:p>
      <w:pPr>
        <w:framePr w:w="1507" w:x="3322" w:y="10143"/>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生产人员</w:t>
      </w:r>
    </w:p>
    <w:p>
      <w:pPr>
        <w:framePr w:w="1507" w:x="3322" w:y="10143"/>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销售人员</w:t>
      </w:r>
    </w:p>
    <w:p>
      <w:pPr>
        <w:framePr w:w="1507" w:x="3322" w:y="10143"/>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技术人员</w:t>
      </w:r>
    </w:p>
    <w:p>
      <w:pPr>
        <w:framePr w:w="1507" w:x="3322" w:y="10143"/>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财务人员</w:t>
      </w:r>
    </w:p>
    <w:p>
      <w:pPr>
        <w:framePr w:w="1507" w:x="3322" w:y="10143"/>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行政人员</w:t>
      </w:r>
    </w:p>
    <w:p>
      <w:pPr>
        <w:framePr w:w="1507" w:x="3322" w:y="10143"/>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7847" w:y="101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专业构成人数</w:t>
      </w:r>
    </w:p>
    <w:p>
      <w:pPr>
        <w:framePr w:w="768" w:x="10106" w:y="104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1,079</w:t>
      </w:r>
    </w:p>
    <w:p>
      <w:pPr>
        <w:framePr w:w="768" w:x="10106" w:y="10426"/>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90</w:t>
      </w:r>
    </w:p>
    <w:p>
      <w:pPr>
        <w:framePr w:w="557" w:x="10317" w:y="109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149</w:t>
      </w:r>
    </w:p>
    <w:p>
      <w:pPr>
        <w:framePr w:w="451" w:x="10420" w:y="112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30</w:t>
      </w:r>
    </w:p>
    <w:p>
      <w:pPr>
        <w:framePr w:w="557" w:x="10317" w:y="115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178</w:t>
      </w:r>
    </w:p>
    <w:p>
      <w:pPr>
        <w:framePr w:w="768" w:x="10106" w:y="1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1,526</w:t>
      </w:r>
    </w:p>
    <w:p>
      <w:pPr>
        <w:framePr w:w="1085" w:x="5795" w:y="121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教育程度</w:t>
      </w:r>
    </w:p>
    <w:p>
      <w:pPr>
        <w:framePr w:w="1507" w:x="3322" w:y="124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教育程度类别</w:t>
      </w:r>
    </w:p>
    <w:p>
      <w:pPr>
        <w:framePr w:w="1507" w:x="3322" w:y="12402"/>
        <w:widowControl w:val="0"/>
        <w:autoSpaceDE w:val="0"/>
        <w:autoSpaceDN w:val="0"/>
        <w:spacing w:before="72" w:line="211" w:lineRule="exact"/>
        <w:ind w:left="10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硕士及以上</w:t>
      </w:r>
    </w:p>
    <w:p>
      <w:pPr>
        <w:framePr w:w="1507" w:x="3322" w:y="12402"/>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本科</w:t>
      </w:r>
    </w:p>
    <w:p>
      <w:pPr>
        <w:framePr w:w="1296" w:x="7950" w:y="124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数量（人）</w:t>
      </w:r>
    </w:p>
    <w:p>
      <w:pPr>
        <w:framePr w:w="557" w:x="10317" w:y="12685"/>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45</w:t>
      </w:r>
    </w:p>
    <w:p>
      <w:pPr>
        <w:framePr w:w="557" w:x="10317" w:y="1268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267</w:t>
      </w:r>
    </w:p>
    <w:p>
      <w:pPr>
        <w:framePr w:w="662" w:x="3742" w:y="132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大专</w:t>
      </w:r>
    </w:p>
    <w:p>
      <w:pPr>
        <w:framePr w:w="557" w:x="10317" w:y="132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285</w:t>
      </w:r>
    </w:p>
    <w:p>
      <w:pPr>
        <w:framePr w:w="1085" w:x="3531" w:y="135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大专以下</w:t>
      </w:r>
    </w:p>
    <w:p>
      <w:pPr>
        <w:framePr w:w="1085" w:x="3531" w:y="13532"/>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557" w:x="10317" w:y="135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929</w:t>
      </w:r>
    </w:p>
    <w:p>
      <w:pPr>
        <w:framePr w:w="768" w:x="10106" w:y="138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1,526</w:t>
      </w:r>
    </w:p>
    <w:p>
      <w:pPr>
        <w:framePr w:w="1922" w:x="1798" w:y="1441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薪酬政策</w:t>
      </w:r>
    </w:p>
    <w:p>
      <w:pPr>
        <w:framePr w:w="1922" w:x="1798" w:y="14411"/>
        <w:widowControl w:val="0"/>
        <w:autoSpaceDE w:val="0"/>
        <w:autoSpaceDN w:val="0"/>
        <w:spacing w:before="9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3" type="#_x0000_t75" style="width:445.6pt;height:2.7pt;margin-top:53.3pt;margin-left:87.45pt;mso-position-horizontal-relative:page;mso-position-vertical-relative:page;position:absolute;z-index:-251216896">
            <v:imagedata r:id="rId122" o:title=""/>
          </v:shape>
        </w:pict>
      </w:r>
      <w:r>
        <w:rPr>
          <w:noProof/>
        </w:rPr>
        <w:pict>
          <v:shape id="_x0000_s1164" type="#_x0000_t75" style="width:463.7pt;height:30.35pt;margin-top:74.3pt;margin-left:74.5pt;mso-position-horizontal-relative:page;mso-position-vertical-relative:page;position:absolute;z-index:-251294720">
            <v:imagedata r:id="rId123" o:title=""/>
          </v:shape>
        </w:pict>
      </w:r>
      <w:r>
        <w:rPr>
          <w:noProof/>
        </w:rPr>
        <w:pict>
          <v:shape id="_x0000_s1165" type="#_x0000_t75" style="width:454.95pt;height:157.8pt;margin-top:162.25pt;margin-left:83.25pt;mso-position-horizontal-relative:page;mso-position-vertical-relative:page;position:absolute;z-index:-251418624">
            <v:imagedata r:id="rId124" o:title=""/>
          </v:shape>
        </w:pict>
      </w:r>
      <w:r>
        <w:rPr>
          <w:noProof/>
        </w:rPr>
        <w:pict>
          <v:shape id="_x0000_s1166" type="#_x0000_t75" style="width:454.95pt;height:284.4pt;margin-top:419.95pt;margin-left:83.25pt;mso-position-horizontal-relative:page;mso-position-vertical-relative:page;position:absolute;z-index:-251602944">
            <v:imagedata r:id="rId125" o:title=""/>
          </v:shape>
        </w:pict>
      </w:r>
    </w:p>
    <w:p>
      <w:pPr>
        <w:spacing w:line="0" w:lineRule="atLeast"/>
        <w:rPr>
          <w:rFonts w:ascii="Arial" w:eastAsiaTheme="minorEastAsia" w:hAnsiTheme="minorHAnsi" w:cstheme="minorBidi"/>
          <w:color w:val="FF0000"/>
          <w:sz w:val="2"/>
          <w:szCs w:val="22"/>
          <w:lang w:val="en-US" w:eastAsia="en-US" w:bidi="ar-SA"/>
        </w:rPr>
      </w:pPr>
      <w:bookmarkStart w:id="55" w:name="br1_54"/>
      <w:bookmarkEnd w:id="55"/>
      <w:r>
        <w:rPr>
          <w:rFonts w:ascii="Arial" w:eastAsiaTheme="minorEastAsia" w:hAnsiTheme="minorHAnsi" w:cstheme="minorBidi"/>
          <w:color w:val="FF0000"/>
          <w:sz w:val="2"/>
          <w:szCs w:val="22"/>
          <w:lang w:val="en-US" w:eastAsia="en-US" w:bidi="ar-SA"/>
        </w:rPr>
        <w:t xml:space="preserve"> </w:t>
      </w:r>
    </w:p>
    <w:p>
      <w:pPr>
        <w:framePr w:w="1550" w:x="5550"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为充分体现岗位价值，调动员工积极性主动性，促进企业持续发展。公司引入增量管理体系，</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根据不同的业务类型进行岗位分析，制定了三套薪酬方案：《生产系统薪酬方案》、《行政系统</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薪酬方案》、《销售系统薪酬方案》。</w:t>
      </w:r>
    </w:p>
    <w:p>
      <w:pPr>
        <w:framePr w:w="9110" w:x="1798" w:y="28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公司整体薪酬水平以市场为导向，以公司经营管理情况和财务支付能力为前提，推行与人力</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资源考核相挂钩的薪酬制度，通过职业生涯规划的梳理，结合行业、岗位现状制定了岗位任职资</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格标准，通过认证，实现了全员能力认证，规范了分配行为，充分调动员工积极性和创造性，促</w:t>
      </w:r>
    </w:p>
    <w:p>
      <w:pPr>
        <w:framePr w:w="9110" w:x="1798" w:y="288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进公司及员工自身的发展。同时公司通对薪酬结构进行了调整：保障性薪酬、津贴性薪酬以及激</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励性薪酬三个层次。保障性薪酬：岗位工资、技能工资、绩效工资和工龄工资。津贴性薪酬：津</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贴性薪酬指按照国家规定或参照同行业惯例为员工办理或支付的一系列保护性支出。作为保障性</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薪酬的有益补充，津贴性薪酬更能体现公司的人性化管理思路，能够在更大程度改善员工工作环</w:t>
      </w:r>
    </w:p>
    <w:p>
      <w:pPr>
        <w:framePr w:w="9110" w:x="1798" w:y="288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境。包括：生活补贴、卫生补贴、夜班补贴、安全补贴、安全责任制、证书补助、学历补助等。</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激励性薪酬为岗位做出突出贡献的奖励如合格班组、合理化建议奖、全勤奖等。</w:t>
      </w:r>
    </w:p>
    <w:p>
      <w:pPr>
        <w:framePr w:w="9110" w:x="1798" w:y="667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中高层根据集团年度经营指标详细分解，确定每个人的年度指标，采用签订年度绩效合约模</w:t>
      </w:r>
    </w:p>
    <w:p>
      <w:pPr>
        <w:framePr w:w="9110" w:x="1798" w:y="66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式，分月度和年度相结合的考核方式，旨在让全体管理人员关注公司运营，将自己的岗位任职与</w:t>
      </w:r>
    </w:p>
    <w:p>
      <w:pPr>
        <w:framePr w:w="9110" w:x="1798" w:y="66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公司利益捆绑，提高了管理人员的管理水平，更好的服务于公司运营。</w:t>
      </w:r>
    </w:p>
    <w:p>
      <w:pPr>
        <w:framePr w:w="1510" w:x="1798" w:y="800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培训计划</w:t>
      </w:r>
    </w:p>
    <w:p>
      <w:pPr>
        <w:framePr w:w="1922" w:x="1798" w:y="83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87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公司构建分层分类培训体系，采取内部和外部培训相结合的培训方式，根据公司和员工个人</w:t>
      </w:r>
    </w:p>
    <w:p>
      <w:pPr>
        <w:framePr w:w="9110" w:x="1798" w:y="8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需要，同时根据国家最新的政策需求，制定个人成长和公司发展相结合的培训计划，培训计划涉</w:t>
      </w:r>
    </w:p>
    <w:p>
      <w:pPr>
        <w:framePr w:w="9110" w:x="1798" w:y="8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及各个业务方向，公司人力资源中心调度培训过程、跟踪培训结果、完善培训总结，确保培训及</w:t>
      </w:r>
    </w:p>
    <w:p>
      <w:pPr>
        <w:framePr w:w="9110" w:x="1798" w:y="8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时性、有效性，促进员工和公司共同成长。</w:t>
      </w:r>
    </w:p>
    <w:p>
      <w:pPr>
        <w:framePr w:w="1932" w:x="1798" w:y="1048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四</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劳务外包情况</w:t>
      </w:r>
    </w:p>
    <w:p>
      <w:pPr>
        <w:framePr w:w="1932" w:x="1798" w:y="10484"/>
        <w:widowControl w:val="0"/>
        <w:autoSpaceDE w:val="0"/>
        <w:autoSpaceDN w:val="0"/>
        <w:spacing w:before="29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1048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七、其他</w:t>
      </w:r>
    </w:p>
    <w:p>
      <w:pPr>
        <w:framePr w:w="1922" w:x="1798" w:y="120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7" type="#_x0000_t75" style="width:445.6pt;height:2.7pt;margin-top:53.3pt;margin-left:87.45pt;mso-position-horizontal-relative:page;mso-position-vertical-relative:page;position:absolute;z-index:-25160192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6" w:name="br1_55"/>
      <w:bookmarkEnd w:id="56"/>
      <w:r>
        <w:rPr>
          <w:rFonts w:ascii="Arial" w:eastAsiaTheme="minorEastAsia" w:hAnsiTheme="minorHAnsi" w:cstheme="minorBidi"/>
          <w:color w:val="FF0000"/>
          <w:sz w:val="2"/>
          <w:szCs w:val="22"/>
          <w:lang w:val="en-US" w:eastAsia="en-US" w:bidi="ar-SA"/>
        </w:rPr>
        <w:t xml:space="preserve"> </w:t>
      </w:r>
    </w:p>
    <w:p>
      <w:pPr>
        <w:framePr w:w="1550" w:x="5550"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625" w:x="5022" w:y="1543"/>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第九节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2"/>
          <w:sz w:val="28"/>
          <w:szCs w:val="22"/>
          <w:lang w:val="en-US" w:eastAsia="en-US" w:bidi="ar-SA"/>
        </w:rPr>
        <w:t>公司治理</w:t>
      </w:r>
    </w:p>
    <w:p>
      <w:pPr>
        <w:framePr w:w="2774" w:x="1798"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一、公司治理相关情况说明</w:t>
      </w:r>
    </w:p>
    <w:p>
      <w:pPr>
        <w:framePr w:w="2774" w:x="1798" w:y="2140"/>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28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本公司自设立以来，根据《公司法》的规定，建立了相互独立、权责明确、相互监督的股东</w:t>
      </w:r>
    </w:p>
    <w:p>
      <w:pPr>
        <w:framePr w:w="9110" w:x="1798" w:y="286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大会、董事会、监事会和经理层，组建了较为规范的公司内部组织机构，制定了《公司章程》及</w:t>
      </w:r>
    </w:p>
    <w:p>
      <w:pPr>
        <w:framePr w:w="9110" w:x="1798" w:y="28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一系列法人治理细则，明确了董事会、监事会、经理层的权责范围和工作程序。</w:t>
      </w:r>
    </w:p>
    <w:p>
      <w:pPr>
        <w:framePr w:w="9322" w:x="1798" w:y="421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报告期内，公司严格《公司法》《证券法》《上交所股票上市规则》以及证监会有关法律法</w:t>
      </w:r>
    </w:p>
    <w:p>
      <w:pPr>
        <w:framePr w:w="9322" w:x="1798" w:y="421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规的要求，公司股东大会、董事会、监事会依法规范运作，勤勉尽责，不断完善、规范公司治理，</w:t>
      </w:r>
    </w:p>
    <w:p>
      <w:pPr>
        <w:framePr w:w="9322" w:x="1798" w:y="421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保障了公司持续、稳定、健康发展。</w:t>
      </w:r>
    </w:p>
    <w:p>
      <w:pPr>
        <w:framePr w:w="2035" w:x="2218" w:y="55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、股东和股东大会</w:t>
      </w:r>
    </w:p>
    <w:p>
      <w:pPr>
        <w:framePr w:w="9322" w:x="1798" w:y="608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依据公司制定的《股东大会议事规则》并严格按照中国证监会颁布的《上市公司股东大会规</w:t>
      </w:r>
    </w:p>
    <w:p>
      <w:pPr>
        <w:framePr w:w="9322" w:x="1798" w:y="60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则》相关要求召集、召开股东大会，公司确保所有股东充分行使合法权利，特别是中小股东权利，</w:t>
      </w:r>
    </w:p>
    <w:p>
      <w:pPr>
        <w:framePr w:w="9322" w:x="1798" w:y="60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保证全体股东的信息对称。报告期内，公司历次股东大会的召集、召开符合有关规定，并有律师</w:t>
      </w:r>
    </w:p>
    <w:p>
      <w:pPr>
        <w:framePr w:w="9322" w:x="1798" w:y="60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现场见证，表决程序合法、有效。</w:t>
      </w:r>
    </w:p>
    <w:p>
      <w:pPr>
        <w:framePr w:w="1824" w:x="2218" w:y="78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、董事与董事会</w:t>
      </w:r>
    </w:p>
    <w:p>
      <w:pPr>
        <w:framePr w:w="9110" w:x="1798" w:y="83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公司严格按照《公司法》《公司章程》规定的选聘程序选举董事，公司董事的人数和人员构</w:t>
      </w:r>
    </w:p>
    <w:p>
      <w:pPr>
        <w:framePr w:w="9110" w:x="1798" w:y="83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成符合法律、法规的要求，各董事均能按照《公司章程》《董事会议事规则》的规定，认真履行</w:t>
      </w:r>
    </w:p>
    <w:p>
      <w:pPr>
        <w:framePr w:w="9110" w:x="1798" w:y="83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职责，以认真负责的态度出席公司董事会和股东大会，并严格执行股东大会对董事会的授权，认</w:t>
      </w:r>
    </w:p>
    <w:p>
      <w:pPr>
        <w:framePr w:w="9110" w:x="1798" w:y="836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真落实股东大会的各项决议。历次董事会的召集、召开程序，均符合《公司法》等法律、法规和</w:t>
      </w:r>
    </w:p>
    <w:p>
      <w:pPr>
        <w:framePr w:w="9110" w:x="1798" w:y="83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规范性文件以及《公司章程》的规定，不存在董事违反《公司法》《公司章程》及相关制度要求</w:t>
      </w:r>
    </w:p>
    <w:p>
      <w:pPr>
        <w:framePr w:w="9110" w:x="1798" w:y="83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行使职权的行为。</w:t>
      </w:r>
    </w:p>
    <w:p>
      <w:pPr>
        <w:framePr w:w="1824" w:x="2218" w:y="109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、监事与监事会</w:t>
      </w:r>
    </w:p>
    <w:p>
      <w:pPr>
        <w:framePr w:w="9110" w:x="1798" w:y="114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公司严格按照《公司法》《公司章程》规定的选聘程序选举监事，公司监事的人数和人员构</w:t>
      </w:r>
    </w:p>
    <w:p>
      <w:pPr>
        <w:framePr w:w="9110" w:x="1798" w:y="1146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成符合法律、法规的要求，公司监事会严格按照《公司章程》《监事会议事规则》的规定，认真</w:t>
      </w:r>
    </w:p>
    <w:p>
      <w:pPr>
        <w:framePr w:w="9110" w:x="1798" w:y="114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履行职责，依法对公司合规运作、财务检查以及内部控制运行等履行职责的合法合规性进行监督</w:t>
      </w:r>
    </w:p>
    <w:p>
      <w:pPr>
        <w:framePr w:w="9110" w:x="1798" w:y="114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检查，维护了公司及股东的合法权益。</w:t>
      </w:r>
    </w:p>
    <w:p>
      <w:pPr>
        <w:framePr w:w="1402" w:x="2218" w:y="13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、信息披露</w:t>
      </w:r>
    </w:p>
    <w:p>
      <w:pPr>
        <w:framePr w:w="9110" w:x="1798" w:y="137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公司严格按照《上交所股票上市规则》《公司信息披露与投资者关系管理制度》等有关规定，</w:t>
      </w:r>
    </w:p>
    <w:p>
      <w:pPr>
        <w:framePr w:w="9110" w:x="1798" w:y="1375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依法履行信息披露义务，并做好信息披露前的保密工作，确保所有股东均能公平、公正地获得信</w:t>
      </w:r>
    </w:p>
    <w:p>
      <w:pPr>
        <w:framePr w:w="9110" w:x="1798" w:y="13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息。报告期内，公司认真做到信息披露的真实、准确、完整、及时、公平。</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8" type="#_x0000_t75" style="width:445.6pt;height:2.7pt;margin-top:53.3pt;margin-left:87.45pt;mso-position-horizontal-relative:page;mso-position-vertical-relative:page;position:absolute;z-index:-25160089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7" w:name="br1_56"/>
      <w:bookmarkEnd w:id="57"/>
      <w:r>
        <w:rPr>
          <w:rFonts w:ascii="Arial" w:eastAsiaTheme="minorEastAsia" w:hAnsiTheme="minorHAnsi" w:cstheme="minorBidi"/>
          <w:color w:val="FF0000"/>
          <w:sz w:val="2"/>
          <w:szCs w:val="22"/>
          <w:lang w:val="en-US" w:eastAsia="en-US" w:bidi="ar-SA"/>
        </w:rPr>
        <w:t xml:space="preserve"> </w:t>
      </w:r>
    </w:p>
    <w:p>
      <w:pPr>
        <w:framePr w:w="1550" w:x="5550"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477" w:x="1798" w:y="18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公司治理与中国证监会相关规定的要求是否存在重大差异；如有重大差异，应当说明原因</w:t>
      </w:r>
    </w:p>
    <w:p>
      <w:pPr>
        <w:framePr w:w="8477" w:x="1798" w:y="180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二、股东大会情况简介</w:t>
      </w:r>
    </w:p>
    <w:p>
      <w:pPr>
        <w:framePr w:w="6241" w:x="4316" w:y="3012"/>
        <w:widowControl w:val="0"/>
        <w:autoSpaceDE w:val="0"/>
        <w:autoSpaceDN w:val="0"/>
        <w:spacing w:line="211" w:lineRule="exact"/>
        <w:ind w:left="200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决议刊登的指定网站的</w:t>
      </w:r>
    </w:p>
    <w:p>
      <w:pPr>
        <w:framePr w:w="6241" w:x="4316" w:y="3012"/>
        <w:widowControl w:val="0"/>
        <w:autoSpaceDE w:val="0"/>
        <w:autoSpaceDN w:val="0"/>
        <w:spacing w:before="62" w:line="211" w:lineRule="exact"/>
        <w:ind w:left="2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查询索引</w:t>
      </w:r>
    </w:p>
    <w:p>
      <w:pPr>
        <w:framePr w:w="6241" w:x="4316" w:y="301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w:t>
      </w:r>
      <w:r>
        <w:rPr>
          <w:rFonts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http://www.sse.com.cn</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w:t>
      </w:r>
      <w:r>
        <w:rPr>
          <w:rFonts w:ascii="SimSun" w:hAnsi="SimSun" w:eastAsiaTheme="minorEastAsia" w:cs="SimSun"/>
          <w:color w:val="000000"/>
          <w:sz w:val="21"/>
          <w:szCs w:val="22"/>
          <w:lang w:val="en-US" w:eastAsia="en-US" w:bidi="ar-SA"/>
        </w:rPr>
        <w:t>日</w:t>
      </w:r>
    </w:p>
    <w:p>
      <w:pPr>
        <w:framePr w:w="1085" w:x="2369" w:y="3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会议届次</w:t>
      </w:r>
    </w:p>
    <w:p>
      <w:pPr>
        <w:framePr w:w="1085" w:x="4763" w:y="3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召开日期</w:t>
      </w:r>
    </w:p>
    <w:p>
      <w:pPr>
        <w:framePr w:w="2141" w:x="8713" w:y="3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决议刊登的披露日期</w:t>
      </w:r>
    </w:p>
    <w:p>
      <w:pPr>
        <w:framePr w:w="2184" w:x="1479" w:y="3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年年度股东大会</w:t>
      </w:r>
    </w:p>
    <w:p>
      <w:pPr>
        <w:framePr w:w="9078" w:x="1479" w:y="3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年第一次临时股东大会</w:t>
      </w:r>
      <w:r>
        <w:rPr>
          <w:rFonts w:eastAsiaTheme="minorEastAsia" w:hAnsiTheme="minorHAnsi" w:cstheme="minorBidi"/>
          <w:color w:val="000000"/>
          <w:spacing w:val="21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w:t>
      </w:r>
      <w:r>
        <w:rPr>
          <w:rFonts w:ascii="SimSun" w:hAnsi="SimSun" w:eastAsiaTheme="minorEastAsia" w:cs="SimSun"/>
          <w:color w:val="000000"/>
          <w:sz w:val="21"/>
          <w:szCs w:val="22"/>
          <w:lang w:val="en-US" w:eastAsia="en-US" w:bidi="ar-SA"/>
        </w:rPr>
        <w:t>日</w:t>
      </w:r>
      <w:r>
        <w:rPr>
          <w:rFonts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http://www.sse.com.cn</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w:t>
      </w:r>
      <w:r>
        <w:rPr>
          <w:rFonts w:ascii="SimSun" w:hAnsi="SimSun" w:eastAsiaTheme="minorEastAsia" w:cs="SimSun"/>
          <w:color w:val="000000"/>
          <w:sz w:val="21"/>
          <w:szCs w:val="22"/>
          <w:lang w:val="en-US" w:eastAsia="en-US" w:bidi="ar-SA"/>
        </w:rPr>
        <w:t>日</w:t>
      </w:r>
    </w:p>
    <w:p>
      <w:pPr>
        <w:framePr w:w="1930" w:x="1798" w:y="42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股东大会情况说明</w:t>
      </w:r>
    </w:p>
    <w:p>
      <w:pPr>
        <w:framePr w:w="1817" w:x="1798" w:y="47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53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三、董事履行职责情况</w:t>
      </w:r>
    </w:p>
    <w:p>
      <w:pPr>
        <w:framePr w:w="3828" w:x="1798" w:y="562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董事参加董事会和股东大会的情况</w:t>
      </w:r>
    </w:p>
    <w:p>
      <w:pPr>
        <w:framePr w:w="1085" w:x="9688" w:y="59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参加股东</w:t>
      </w:r>
    </w:p>
    <w:p>
      <w:pPr>
        <w:framePr w:w="1839" w:x="5636" w:y="6128"/>
        <w:widowControl w:val="0"/>
        <w:autoSpaceDE w:val="0"/>
        <w:autoSpaceDN w:val="0"/>
        <w:spacing w:line="211" w:lineRule="exact"/>
        <w:ind w:left="12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参加董事会情况</w:t>
      </w:r>
    </w:p>
    <w:p>
      <w:pPr>
        <w:framePr w:w="1839" w:x="5636" w:y="6128"/>
        <w:widowControl w:val="0"/>
        <w:autoSpaceDE w:val="0"/>
        <w:autoSpaceDN w:val="0"/>
        <w:spacing w:before="21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以通讯</w:t>
      </w:r>
    </w:p>
    <w:p>
      <w:pPr>
        <w:framePr w:w="1085" w:x="9688" w:y="62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大会情况</w:t>
      </w:r>
    </w:p>
    <w:p>
      <w:pPr>
        <w:framePr w:w="1085" w:x="9688" w:y="6264"/>
        <w:widowControl w:val="0"/>
        <w:autoSpaceDE w:val="0"/>
        <w:autoSpaceDN w:val="0"/>
        <w:spacing w:before="7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出席股东</w:t>
      </w:r>
    </w:p>
    <w:p>
      <w:pPr>
        <w:framePr w:w="1085" w:x="9688" w:y="626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大会的次</w:t>
      </w:r>
    </w:p>
    <w:p>
      <w:pPr>
        <w:framePr w:w="1085" w:x="9688" w:y="6264"/>
        <w:widowControl w:val="0"/>
        <w:autoSpaceDE w:val="0"/>
        <w:autoSpaceDN w:val="0"/>
        <w:spacing w:before="60" w:line="211" w:lineRule="exact"/>
        <w:ind w:left="31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framePr w:w="662" w:x="1968" w:y="64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662" w:x="1968" w:y="640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874" w:x="2777" w:y="64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是否独</w:t>
      </w:r>
    </w:p>
    <w:p>
      <w:pPr>
        <w:framePr w:w="874" w:x="2777" w:y="640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立董事</w:t>
      </w:r>
    </w:p>
    <w:p>
      <w:pPr>
        <w:framePr w:w="1085" w:x="3646" w:y="65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本年应参</w:t>
      </w:r>
    </w:p>
    <w:p>
      <w:pPr>
        <w:framePr w:w="1296" w:x="8305" w:y="65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是否连续两</w:t>
      </w:r>
    </w:p>
    <w:p>
      <w:pPr>
        <w:framePr w:w="874" w:x="4727" w:y="6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亲自出</w:t>
      </w:r>
    </w:p>
    <w:p>
      <w:pPr>
        <w:framePr w:w="874" w:x="4727" w:y="669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席次数</w:t>
      </w:r>
    </w:p>
    <w:p>
      <w:pPr>
        <w:framePr w:w="874" w:x="6573" w:y="6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委托出</w:t>
      </w:r>
    </w:p>
    <w:p>
      <w:pPr>
        <w:framePr w:w="874" w:x="6573" w:y="669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席次数</w:t>
      </w:r>
    </w:p>
    <w:p>
      <w:pPr>
        <w:framePr w:w="662" w:x="7552" w:y="6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缺席</w:t>
      </w:r>
    </w:p>
    <w:p>
      <w:pPr>
        <w:framePr w:w="662" w:x="7552" w:y="669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次数</w:t>
      </w:r>
    </w:p>
    <w:p>
      <w:pPr>
        <w:framePr w:w="1085" w:x="3646" w:y="6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加董事会</w:t>
      </w:r>
    </w:p>
    <w:p>
      <w:pPr>
        <w:framePr w:w="874" w:x="5636" w:y="6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方式参</w:t>
      </w:r>
    </w:p>
    <w:p>
      <w:pPr>
        <w:framePr w:w="874" w:x="5636" w:y="682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加次数</w:t>
      </w:r>
    </w:p>
    <w:p>
      <w:pPr>
        <w:framePr w:w="1296" w:x="8305" w:y="6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次未亲自参</w:t>
      </w:r>
    </w:p>
    <w:p>
      <w:pPr>
        <w:framePr w:w="662" w:x="3855" w:y="70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次数</w:t>
      </w:r>
    </w:p>
    <w:p>
      <w:pPr>
        <w:framePr w:w="874" w:x="8514" w:y="70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加会议</w:t>
      </w:r>
    </w:p>
    <w:p>
      <w:pPr>
        <w:framePr w:w="874" w:x="1798" w:y="7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874" w:x="1798" w:y="73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陈鸣宇</w:t>
      </w:r>
    </w:p>
    <w:p>
      <w:pPr>
        <w:framePr w:w="874" w:x="1798"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姚长明</w:t>
      </w:r>
    </w:p>
    <w:p>
      <w:pPr>
        <w:framePr w:w="874" w:x="1798"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王申健</w:t>
      </w:r>
    </w:p>
    <w:p>
      <w:pPr>
        <w:framePr w:w="874" w:x="1798" w:y="73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王金信</w:t>
      </w:r>
    </w:p>
    <w:p>
      <w:pPr>
        <w:framePr w:w="874" w:x="1798"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孙宗彬</w:t>
      </w:r>
    </w:p>
    <w:p>
      <w:pPr>
        <w:framePr w:w="874" w:x="1798"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仲涛</w:t>
      </w:r>
    </w:p>
    <w:p>
      <w:pPr>
        <w:framePr w:w="451" w:x="2777" w:y="7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2777" w:y="73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2777"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2777"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2777" w:y="73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2777"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2777"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2777" w:y="73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346" w:x="4403" w:y="7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4403"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4403"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4403"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346" w:x="4403"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4403"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4403"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4403"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5255" w:y="7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346" w:x="5255"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346" w:x="5255"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5255"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5255"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5255"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5255"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5255"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6222" w:y="7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7127" w:y="7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972" w:y="7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972"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972"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972"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972"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972"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972"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972"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451" w:x="8293" w:y="7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8293" w:y="73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8293"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8293"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8293" w:y="73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8293"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8293" w:y="7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8293" w:y="73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346" w:x="10526" w:y="7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10526"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10526"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10526"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10526"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10526"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10526" w:y="7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10526" w:y="738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6222" w:y="76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6222" w:y="76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346" w:x="6222" w:y="76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346" w:x="6222" w:y="766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346" w:x="6222" w:y="76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346" w:x="6222" w:y="76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346" w:x="6222" w:y="766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127" w:y="76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127" w:y="76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127" w:y="76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127" w:y="766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127" w:y="76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127" w:y="76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127" w:y="766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662" w:x="1798" w:y="93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李壮</w:t>
      </w:r>
    </w:p>
    <w:p>
      <w:pPr>
        <w:framePr w:w="3830" w:x="1798" w:y="97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连续两次未亲自出席董事会会议的说明</w:t>
      </w:r>
    </w:p>
    <w:p>
      <w:pPr>
        <w:framePr w:w="3830" w:x="1798" w:y="976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3" w:x="1798" w:y="108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年内召开董事会会议次数</w:t>
      </w:r>
    </w:p>
    <w:p>
      <w:pPr>
        <w:framePr w:w="2563" w:x="1798" w:y="1082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其中：现场会议次数</w:t>
      </w:r>
    </w:p>
    <w:p>
      <w:pPr>
        <w:framePr w:w="346" w:x="6323" w:y="108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6323" w:y="1082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346" w:x="6323" w:y="1082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46" w:x="6323" w:y="1082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2352" w:x="1798" w:y="113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通讯方式召开会议次数</w:t>
      </w:r>
    </w:p>
    <w:p>
      <w:pPr>
        <w:framePr w:w="3197" w:x="1798" w:y="116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现场结合通讯方式召开会议次数</w:t>
      </w:r>
    </w:p>
    <w:p>
      <w:pPr>
        <w:framePr w:w="4462" w:x="1798" w:y="1205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独立董事对公司有关事项提出异议的情况</w:t>
      </w:r>
    </w:p>
    <w:p>
      <w:pPr>
        <w:framePr w:w="4462" w:x="1798" w:y="12058"/>
        <w:widowControl w:val="0"/>
        <w:autoSpaceDE w:val="0"/>
        <w:autoSpaceDN w:val="0"/>
        <w:spacing w:before="29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1311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136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74" w:x="1798" w:y="141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四、董事会下设专门委员会在报告期内履行职责时所提出的重要意见和建议，存在异议事项的，</w:t>
      </w:r>
    </w:p>
    <w:p>
      <w:pPr>
        <w:framePr w:w="9174" w:x="1798" w:y="14192"/>
        <w:widowControl w:val="0"/>
        <w:autoSpaceDE w:val="0"/>
        <w:autoSpaceDN w:val="0"/>
        <w:spacing w:before="197" w:line="211" w:lineRule="exact"/>
        <w:ind w:left="42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应当披露具体情况</w:t>
      </w:r>
    </w:p>
    <w:p>
      <w:pPr>
        <w:framePr w:w="1922" w:x="1798" w:y="151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9" type="#_x0000_t75" style="width:445.6pt;height:2.7pt;margin-top:53.3pt;margin-left:87.45pt;mso-position-horizontal-relative:page;mso-position-vertical-relative:page;position:absolute;z-index:-251215872">
            <v:imagedata r:id="rId126" o:title=""/>
          </v:shape>
        </w:pict>
      </w:r>
      <w:r>
        <w:rPr>
          <w:noProof/>
        </w:rPr>
        <w:pict>
          <v:shape id="_x0000_s1170" type="#_x0000_t75" style="width:471.05pt;height:58.5pt;margin-top:147.6pt;margin-left:67.3pt;mso-position-horizontal-relative:page;mso-position-vertical-relative:page;position:absolute;z-index:-251293696">
            <v:imagedata r:id="rId127" o:title=""/>
          </v:shape>
        </w:pict>
      </w:r>
      <w:r>
        <w:rPr>
          <w:noProof/>
        </w:rPr>
        <w:pict>
          <v:shape id="_x0000_s1171" type="#_x0000_t75" style="width:454.95pt;height:185.4pt;margin-top:296.2pt;margin-left:83.25pt;mso-position-horizontal-relative:page;mso-position-vertical-relative:page;position:absolute;z-index:-251417600">
            <v:imagedata r:id="rId128" o:title=""/>
          </v:shape>
        </w:pict>
      </w:r>
      <w:r>
        <w:rPr>
          <w:noProof/>
        </w:rPr>
        <w:pict>
          <v:shape id="_x0000_s1172" type="#_x0000_t75" style="width:454.95pt;height:59pt;margin-top:538.4pt;margin-left:83.25pt;mso-position-horizontal-relative:page;mso-position-vertical-relative:page;position:absolute;z-index:-251599872">
            <v:imagedata r:id="rId129" o:title=""/>
          </v:shape>
        </w:pict>
      </w:r>
    </w:p>
    <w:p>
      <w:pPr>
        <w:spacing w:line="0" w:lineRule="atLeast"/>
        <w:rPr>
          <w:rFonts w:ascii="Arial" w:eastAsiaTheme="minorEastAsia" w:hAnsiTheme="minorHAnsi" w:cstheme="minorBidi"/>
          <w:color w:val="FF0000"/>
          <w:sz w:val="2"/>
          <w:szCs w:val="22"/>
          <w:lang w:val="en-US" w:eastAsia="en-US" w:bidi="ar-SA"/>
        </w:rPr>
      </w:pPr>
      <w:bookmarkStart w:id="58" w:name="br1_57"/>
      <w:bookmarkEnd w:id="58"/>
      <w:r>
        <w:rPr>
          <w:rFonts w:ascii="Arial" w:eastAsiaTheme="minorEastAsia" w:hAnsiTheme="minorHAnsi" w:cstheme="minorBidi"/>
          <w:color w:val="FF0000"/>
          <w:sz w:val="2"/>
          <w:szCs w:val="22"/>
          <w:lang w:val="en-US" w:eastAsia="en-US" w:bidi="ar-SA"/>
        </w:rPr>
        <w:t xml:space="preserve"> </w:t>
      </w:r>
    </w:p>
    <w:p>
      <w:pPr>
        <w:framePr w:w="1550" w:x="5550"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61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五、监事会发现公司存在风险的说明</w:t>
      </w:r>
    </w:p>
    <w:p>
      <w:pPr>
        <w:framePr w:w="3619"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六、公司就其与控股股东在业务、人员、资产、机构、财务等方面存在的不能保证独立性、不能</w:t>
      </w:r>
    </w:p>
    <w:p>
      <w:pPr>
        <w:framePr w:w="9110" w:x="1798" w:y="2594"/>
        <w:widowControl w:val="0"/>
        <w:autoSpaceDE w:val="0"/>
        <w:autoSpaceDN w:val="0"/>
        <w:spacing w:before="197" w:line="211" w:lineRule="exact"/>
        <w:ind w:left="42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保持自主经营能力的情况说明</w:t>
      </w:r>
    </w:p>
    <w:p>
      <w:pPr>
        <w:framePr w:w="1922" w:x="1798" w:y="35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365" w:x="1798" w:y="40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存在同业竞争的，公司相应的解决措施、工作进度及后续工作计划</w:t>
      </w:r>
    </w:p>
    <w:p>
      <w:pPr>
        <w:framePr w:w="6365" w:x="1798" w:y="405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210" w:x="1798" w:y="51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七、报告期内对高级管理人员的考评机制，以及激励机制的建立、实施情况</w:t>
      </w:r>
    </w:p>
    <w:p>
      <w:pPr>
        <w:framePr w:w="7210" w:x="1798" w:y="5117"/>
        <w:widowControl w:val="0"/>
        <w:autoSpaceDE w:val="0"/>
        <w:autoSpaceDN w:val="0"/>
        <w:spacing w:before="12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584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公司董事会下设薪酬与考核委员会，负责薪酬政策的制定，并依据公司年度经营目标，经董</w:t>
      </w:r>
    </w:p>
    <w:p>
      <w:pPr>
        <w:framePr w:w="9110" w:x="1798" w:y="58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事会审议通过后，与各高级管理人员签订年度绩效合约，使得自身薪酬与其职责、公司效益相挂</w:t>
      </w:r>
    </w:p>
    <w:p>
      <w:pPr>
        <w:framePr w:w="9110" w:x="1798" w:y="58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钩。对照年度生产经营和效益指标完成情况，对高级管理人员进行考评，有效调动高级管理人员</w:t>
      </w:r>
    </w:p>
    <w:p>
      <w:pPr>
        <w:framePr w:w="9110" w:x="1798" w:y="584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的积极性，促使其更加勤勉、尽责。</w:t>
      </w:r>
    </w:p>
    <w:p>
      <w:pPr>
        <w:framePr w:w="3619" w:x="1798" w:y="75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八、是否披露内部控制自我评价报告</w:t>
      </w:r>
    </w:p>
    <w:p>
      <w:pPr>
        <w:framePr w:w="3619" w:x="1798" w:y="7596"/>
        <w:widowControl w:val="0"/>
        <w:autoSpaceDE w:val="0"/>
        <w:autoSpaceDN w:val="0"/>
        <w:spacing w:before="18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49" w:x="1798" w:y="85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详见同日在上交所网站披露的《公司</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年度内部控制评价报告》。</w:t>
      </w:r>
    </w:p>
    <w:p>
      <w:pPr>
        <w:framePr w:w="6649" w:x="1798" w:y="851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报告期内部控制存在重大缺陷情况的说明</w:t>
      </w:r>
    </w:p>
    <w:p>
      <w:pPr>
        <w:framePr w:w="6649" w:x="1798" w:y="851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10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九、内部控制审计报告的相关情况说明</w:t>
      </w:r>
    </w:p>
    <w:p>
      <w:pPr>
        <w:framePr w:w="3830" w:x="1798" w:y="1010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75" w:x="1798" w:y="111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是否披露内部控制审计报告：是</w:t>
      </w:r>
    </w:p>
    <w:p>
      <w:pPr>
        <w:framePr w:w="4675" w:x="1798" w:y="1115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内部控制审计报告意见类型：标准的无保留意见</w:t>
      </w:r>
    </w:p>
    <w:p>
      <w:pPr>
        <w:framePr w:w="4675" w:x="1798" w:y="1115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十、其他</w:t>
      </w:r>
    </w:p>
    <w:p>
      <w:pPr>
        <w:framePr w:w="1922" w:x="1798" w:y="127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749" w:x="4460" w:y="13614"/>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第十节</w:t>
      </w:r>
      <w:r>
        <w:rPr>
          <w:rFonts w:eastAsiaTheme="minorEastAsia" w:hAnsiTheme="minorHAnsi" w:cstheme="minorBidi"/>
          <w:color w:val="000000"/>
          <w:spacing w:val="348"/>
          <w:sz w:val="28"/>
          <w:szCs w:val="22"/>
          <w:lang w:val="en-US" w:eastAsia="en-US" w:bidi="ar-SA"/>
        </w:rPr>
        <w:t xml:space="preserve"> </w:t>
      </w:r>
      <w:r>
        <w:rPr>
          <w:rFonts w:ascii="SimHei" w:hAnsi="SimHei" w:eastAsiaTheme="minorEastAsia" w:cs="SimHei"/>
          <w:color w:val="000000"/>
          <w:spacing w:val="1"/>
          <w:sz w:val="28"/>
          <w:szCs w:val="22"/>
          <w:lang w:val="en-US" w:eastAsia="en-US" w:bidi="ar-SA"/>
        </w:rPr>
        <w:t>公司债券相关情况</w:t>
      </w:r>
    </w:p>
    <w:p>
      <w:pPr>
        <w:framePr w:w="1817" w:x="1798" w:y="14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3" type="#_x0000_t75" style="width:445.6pt;height:2.7pt;margin-top:53.3pt;margin-left:87.45pt;mso-position-horizontal-relative:page;mso-position-vertical-relative:page;position:absolute;z-index:-251416576">
            <v:imagedata r:id="rId130" o:title=""/>
          </v:shape>
        </w:pict>
      </w:r>
      <w:r>
        <w:rPr>
          <w:noProof/>
        </w:rPr>
        <w:pict>
          <v:shape id="_x0000_s1174" type="#_x0000_t75" style="width:138.7pt;height:15.7pt;margin-top:581.85pt;margin-left:88.9pt;mso-position-horizontal-relative:page;mso-position-vertical-relative:page;position:absolute;z-index:-251598848">
            <v:imagedata r:id="rId131" o:title=""/>
          </v:shape>
        </w:pict>
      </w:r>
    </w:p>
    <w:p>
      <w:pPr>
        <w:spacing w:line="0" w:lineRule="atLeast"/>
        <w:rPr>
          <w:rFonts w:ascii="Arial" w:eastAsiaTheme="minorEastAsia" w:hAnsiTheme="minorHAnsi" w:cstheme="minorBidi"/>
          <w:color w:val="FF0000"/>
          <w:sz w:val="2"/>
          <w:szCs w:val="22"/>
          <w:lang w:val="en-US" w:eastAsia="en-US" w:bidi="ar-SA"/>
        </w:rPr>
      </w:pPr>
      <w:bookmarkStart w:id="59" w:name="br1_58"/>
      <w:bookmarkEnd w:id="5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625" w:x="5022" w:y="1963"/>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Sun" w:hAnsi="SimSun" w:eastAsiaTheme="minorEastAsia" w:cs="SimSun"/>
          <w:color w:val="000000"/>
          <w:spacing w:val="2"/>
          <w:sz w:val="28"/>
          <w:szCs w:val="22"/>
          <w:lang w:val="en-US" w:eastAsia="en-US" w:bidi="ar-SA"/>
        </w:rPr>
        <w:t>第十一节</w:t>
      </w:r>
      <w:r>
        <w:rPr>
          <w:rFonts w:eastAsiaTheme="minorEastAsia" w:hAnsiTheme="minorHAnsi" w:cstheme="minorBidi"/>
          <w:color w:val="000000"/>
          <w:spacing w:val="64"/>
          <w:sz w:val="28"/>
          <w:szCs w:val="22"/>
          <w:lang w:val="en-US" w:eastAsia="en-US" w:bidi="ar-SA"/>
        </w:rPr>
        <w:t xml:space="preserve"> </w:t>
      </w:r>
      <w:r>
        <w:rPr>
          <w:rFonts w:ascii="SimSun" w:hAnsi="SimSun" w:eastAsiaTheme="minorEastAsia" w:cs="SimSun"/>
          <w:color w:val="000000"/>
          <w:spacing w:val="2"/>
          <w:sz w:val="28"/>
          <w:szCs w:val="22"/>
          <w:lang w:val="en-US" w:eastAsia="en-US" w:bidi="ar-SA"/>
        </w:rPr>
        <w:t>财务报告</w:t>
      </w:r>
    </w:p>
    <w:p>
      <w:pPr>
        <w:framePr w:w="1510" w:x="1798" w:y="25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一、审计报告</w:t>
      </w:r>
    </w:p>
    <w:p>
      <w:pPr>
        <w:framePr w:w="1817" w:x="1798" w:y="28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32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山东先达农化股份有限公司全体股东：</w:t>
      </w:r>
    </w:p>
    <w:p>
      <w:pPr>
        <w:framePr w:w="3830" w:x="1798" w:y="3285"/>
        <w:widowControl w:val="0"/>
        <w:autoSpaceDE w:val="0"/>
        <w:autoSpaceDN w:val="0"/>
        <w:spacing w:before="319" w:line="211" w:lineRule="exact"/>
        <w:ind w:left="42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一、审计意见</w:t>
      </w:r>
    </w:p>
    <w:p>
      <w:pPr>
        <w:framePr w:w="9011" w:x="1798" w:y="4344"/>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我们审计了山东先达农化股份有限公司</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以下简称先达农化公司</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财务报表，包括</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p>
    <w:p>
      <w:pPr>
        <w:framePr w:w="9011" w:x="1798" w:y="434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日的合并及母公司资产负债表，</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年度的合并及母公司利润表、合并及母公司现金流量</w:t>
      </w:r>
    </w:p>
    <w:p>
      <w:pPr>
        <w:framePr w:w="9011" w:x="1798" w:y="434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表、合并及母公司股东权益变动表以及相关财务报表附注。</w:t>
      </w:r>
    </w:p>
    <w:p>
      <w:pPr>
        <w:framePr w:w="9068" w:x="1798" w:y="568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我们认为，后附的财务报表在所有重大方面按照企业会计准则的规定编制，公允反映了先达</w:t>
      </w:r>
    </w:p>
    <w:p>
      <w:pPr>
        <w:framePr w:w="9068" w:x="1798" w:y="568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农化公司</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日的合并及母公司财务状况以及</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年度的合并及母公司经营成果和</w:t>
      </w:r>
    </w:p>
    <w:p>
      <w:pPr>
        <w:framePr w:w="9068" w:x="1798" w:y="568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现金流量。</w:t>
      </w:r>
    </w:p>
    <w:p>
      <w:pPr>
        <w:framePr w:w="2563" w:x="2220" w:y="70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二、形成审计意见的基础</w:t>
      </w:r>
    </w:p>
    <w:p>
      <w:pPr>
        <w:framePr w:w="9110" w:x="1798" w:y="756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我们按照中国注册会计师审计准则的规定执行了审计工作。审计报告的“注册会计师对财务</w:t>
      </w:r>
    </w:p>
    <w:p>
      <w:pPr>
        <w:framePr w:w="9110" w:x="1798" w:y="75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报表审计的责任”部分进一步阐述了我们在这些准则下的责任。按照中国注册会计师职业道德守</w:t>
      </w:r>
    </w:p>
    <w:p>
      <w:pPr>
        <w:framePr w:w="9110" w:x="1798" w:y="756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则，我们独立于先达农化公司，并履行了职业道德方面的其他责任。我们相信，我们获取的审计</w:t>
      </w:r>
    </w:p>
    <w:p>
      <w:pPr>
        <w:framePr w:w="9110" w:x="1798" w:y="75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证据是充分、适当的，为发表审计意见提供了基础。</w:t>
      </w:r>
    </w:p>
    <w:p>
      <w:pPr>
        <w:framePr w:w="1930" w:x="2220" w:y="93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三、关键审计事项</w:t>
      </w:r>
    </w:p>
    <w:p>
      <w:pPr>
        <w:framePr w:w="9068" w:x="1798" w:y="984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关键审计事项是我们根据职业判断，认为对本期财务报表审计最为重要的事项。这些事项的</w:t>
      </w:r>
    </w:p>
    <w:p>
      <w:pPr>
        <w:framePr w:w="9068" w:x="1798" w:y="984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应对以对财务报表整体进行审计并形成审计意见为背景，我们不对这些事项单独发表意见。</w:t>
      </w:r>
    </w:p>
    <w:p>
      <w:pPr>
        <w:framePr w:w="5942" w:x="2218" w:y="107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我们确定下列事项是需要在审计报告中沟通的关键审计事项。</w:t>
      </w:r>
    </w:p>
    <w:p>
      <w:pPr>
        <w:framePr w:w="1507" w:x="2218" w:y="113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收入确认</w:t>
      </w:r>
    </w:p>
    <w:p>
      <w:pPr>
        <w:framePr w:w="1507" w:x="2218" w:y="1131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存货事项</w:t>
      </w:r>
    </w:p>
    <w:p>
      <w:pPr>
        <w:framePr w:w="1507" w:x="2218" w:y="1131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收入确认</w:t>
      </w:r>
    </w:p>
    <w:p>
      <w:pPr>
        <w:framePr w:w="1507" w:x="2218" w:y="11312"/>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事项描述</w:t>
      </w:r>
    </w:p>
    <w:p>
      <w:pPr>
        <w:framePr w:w="9110" w:x="1798" w:y="1342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年度先达农化公司收入确认会计政策及账面金额信息请参阅合并财务报表附注四、（二</w:t>
      </w:r>
    </w:p>
    <w:p>
      <w:pPr>
        <w:framePr w:w="9110" w:x="1798" w:y="134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十九）及附注六、注释</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35</w:t>
      </w:r>
      <w:r>
        <w:rPr>
          <w:rFonts w:ascii="SimSun" w:hAnsi="SimSun" w:eastAsiaTheme="minorEastAsia" w:cs="SimSun"/>
          <w:color w:val="000000"/>
          <w:sz w:val="21"/>
          <w:szCs w:val="22"/>
          <w:lang w:val="en-US" w:eastAsia="en-US" w:bidi="ar-SA"/>
        </w:rPr>
        <w:t>。先达农化公司</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年度营业收入</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1,895,595,666.25</w:t>
      </w:r>
      <w:r>
        <w:rPr>
          <w:rFonts w:ascii="SimSun" w:hAnsi="SimSun" w:eastAsiaTheme="minorEastAsia" w:cs="SimSun"/>
          <w:color w:val="000000"/>
          <w:sz w:val="21"/>
          <w:szCs w:val="22"/>
          <w:lang w:val="en-US" w:eastAsia="en-US" w:bidi="ar-SA"/>
        </w:rPr>
        <w:t>元，比</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p>
    <w:p>
      <w:pPr>
        <w:framePr w:w="9110" w:x="1798" w:y="134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度的</w:t>
      </w:r>
      <w:r>
        <w:rPr>
          <w:rFonts w:eastAsiaTheme="minorEastAsia" w:hAnsiTheme="minorHAnsi" w:cstheme="minorBidi"/>
          <w:color w:val="000000"/>
          <w:spacing w:val="5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1,574,570,054.14</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元增加了</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321,025,612.11</w:t>
      </w:r>
      <w:r>
        <w:rPr>
          <w:rFonts w:ascii="SimSun" w:hAnsi="SimSun" w:eastAsiaTheme="minorEastAsia" w:cs="SimSun"/>
          <w:color w:val="000000"/>
          <w:sz w:val="21"/>
          <w:szCs w:val="22"/>
          <w:lang w:val="en-US" w:eastAsia="en-US" w:bidi="ar-SA"/>
        </w:rPr>
        <w:t>元，增幅</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20.39%</w:t>
      </w:r>
      <w:r>
        <w:rPr>
          <w:rFonts w:ascii="SimSun" w:hAnsi="SimSun" w:eastAsiaTheme="minorEastAsia" w:cs="SimSun"/>
          <w:color w:val="000000"/>
          <w:sz w:val="21"/>
          <w:szCs w:val="22"/>
          <w:lang w:val="en-US" w:eastAsia="en-US" w:bidi="ar-SA"/>
        </w:rPr>
        <w:t>，由于收入对先达农化公司</w:t>
      </w:r>
    </w:p>
    <w:p>
      <w:pPr>
        <w:framePr w:w="9110" w:x="1798" w:y="134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财务报表的重要性，导致收入是否在恰当的财务报表期间入账可能存在潜在错报，因此我们将收</w:t>
      </w:r>
    </w:p>
    <w:p>
      <w:pPr>
        <w:framePr w:w="9110" w:x="1798" w:y="1342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入确认认定为关键审计事项。</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5" type="#_x0000_t75" style="width:445.6pt;height:2.7pt;margin-top:53.65pt;margin-left:87.45pt;mso-position-horizontal-relative:page;mso-position-vertical-relative:page;position:absolute;z-index:-25159782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0" w:name="br1_59"/>
      <w:bookmarkEnd w:id="6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296"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审计应对</w:t>
      </w:r>
    </w:p>
    <w:p>
      <w:pPr>
        <w:framePr w:w="4253" w:x="221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我们对于收入所实施的重要审计程序包括：</w:t>
      </w:r>
    </w:p>
    <w:p>
      <w:pPr>
        <w:framePr w:w="9005" w:x="221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了解和评估管理层对营业收入确认相关内部控制的设计，并测试了关键控制执行的有效性；</w:t>
      </w:r>
    </w:p>
    <w:p>
      <w:pPr>
        <w:framePr w:w="8794" w:x="2218"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对收入和成本执行分析程序，包括：对本期各月度收入、成本、毛利波动分析，对主要产</w:t>
      </w:r>
    </w:p>
    <w:p>
      <w:pPr>
        <w:framePr w:w="5520" w:x="1798" w:y="35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品本期收入、成本、毛利率与上期比较分析等分析程序；</w:t>
      </w:r>
    </w:p>
    <w:p>
      <w:pPr>
        <w:framePr w:w="8794" w:x="2218" w:y="40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获取公司与客户签订的协议，对合同关键条款进行核实，如发货及验收、付款及结算、换</w:t>
      </w:r>
    </w:p>
    <w:p>
      <w:pPr>
        <w:framePr w:w="9110" w:x="1798" w:y="4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货及退货政策等；查询客户的工商资料，询问公司相关人员，以确认客户与公司是否存在关联关</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系；</w:t>
      </w:r>
    </w:p>
    <w:p>
      <w:pPr>
        <w:framePr w:w="8794" w:x="2218" w:y="5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对于国内客户的销售抽取重要客户检查销售合同、发货单据、签收单据、记账凭证、当期</w:t>
      </w:r>
    </w:p>
    <w:p>
      <w:pPr>
        <w:framePr w:w="6576" w:x="1798" w:y="5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回款资金流水单据、对账函等资料，并结合应收账款实施函证程序；</w:t>
      </w:r>
    </w:p>
    <w:p>
      <w:pPr>
        <w:framePr w:w="9110" w:x="1798" w:y="63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2"/>
          <w:sz w:val="21"/>
          <w:szCs w:val="22"/>
          <w:lang w:val="en-US" w:eastAsia="en-US" w:bidi="ar-SA"/>
        </w:rPr>
        <w:t>对于出口销售检查销售合同、出口报关单、出口货运提单等，同时亲自登录海关报关系统</w:t>
      </w:r>
    </w:p>
    <w:p>
      <w:pPr>
        <w:framePr w:w="9110" w:x="1798" w:y="6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和外汇管理系统并获取两个系统中先达农化公司的进出口报关数据并与账面信息核对，并结合应</w:t>
      </w:r>
    </w:p>
    <w:p>
      <w:pPr>
        <w:framePr w:w="9110" w:x="1798" w:y="6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收账款实施函证程序；</w:t>
      </w:r>
    </w:p>
    <w:p>
      <w:pPr>
        <w:framePr w:w="8794" w:x="2218" w:y="76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2"/>
          <w:sz w:val="21"/>
          <w:szCs w:val="22"/>
          <w:lang w:val="en-US" w:eastAsia="en-US" w:bidi="ar-SA"/>
        </w:rPr>
        <w:t>根据客户的交易金额和应收账款期末余额选取样本执行函证程序，以确认销售额和应收账</w:t>
      </w:r>
    </w:p>
    <w:p>
      <w:pPr>
        <w:framePr w:w="1507" w:x="1798" w:y="80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款期末余额；</w:t>
      </w:r>
    </w:p>
    <w:p>
      <w:pPr>
        <w:framePr w:w="8794" w:x="2218" w:y="86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2"/>
          <w:sz w:val="21"/>
          <w:szCs w:val="22"/>
          <w:lang w:val="en-US" w:eastAsia="en-US" w:bidi="ar-SA"/>
        </w:rPr>
        <w:t>对客户回款情况，包括期后回款情况进行检查，以确认销售收入和应收账款期末余额的真</w:t>
      </w:r>
    </w:p>
    <w:p>
      <w:pPr>
        <w:framePr w:w="874" w:x="1798" w:y="90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实性；</w:t>
      </w:r>
    </w:p>
    <w:p>
      <w:pPr>
        <w:framePr w:w="8794" w:x="2218" w:y="95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pacing w:val="-2"/>
          <w:sz w:val="21"/>
          <w:szCs w:val="22"/>
          <w:lang w:val="en-US" w:eastAsia="en-US" w:bidi="ar-SA"/>
        </w:rPr>
        <w:t>针对资产负债表日前后确认的销售收入执行截止测试，核对发货单据、签收单据或出口报</w:t>
      </w:r>
    </w:p>
    <w:p>
      <w:pPr>
        <w:framePr w:w="6787" w:x="1798" w:y="99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关单、出口货运提单等单证，以评估销售收入是否在恰当的期间确认。</w:t>
      </w:r>
    </w:p>
    <w:p>
      <w:pPr>
        <w:framePr w:w="8899" w:x="2218" w:y="104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基于已执行的审计工作，我们认为，先达农化公司营业收入的确认符合收入确认的会计政策。</w:t>
      </w:r>
    </w:p>
    <w:p>
      <w:pPr>
        <w:framePr w:w="1507" w:x="2218" w:y="11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存货事项</w:t>
      </w:r>
    </w:p>
    <w:p>
      <w:pPr>
        <w:framePr w:w="1507" w:x="2218" w:y="1102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事项描述</w:t>
      </w:r>
    </w:p>
    <w:p>
      <w:pPr>
        <w:framePr w:w="9110" w:x="1798" w:y="1208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年度先达农化公司存货会计政策及账面金额请参阅合并财务报表附注四、（十四）及附</w:t>
      </w:r>
    </w:p>
    <w:p>
      <w:pPr>
        <w:framePr w:w="9110" w:x="1798" w:y="120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注六、注释</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日存货账面价值</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396,308,934.43</w:t>
      </w:r>
      <w:r>
        <w:rPr>
          <w:rFonts w:ascii="SimSun" w:hAnsi="SimSun" w:eastAsiaTheme="minorEastAsia" w:cs="SimSun"/>
          <w:color w:val="000000"/>
          <w:sz w:val="21"/>
          <w:szCs w:val="22"/>
          <w:lang w:val="en-US" w:eastAsia="en-US" w:bidi="ar-SA"/>
        </w:rPr>
        <w:t>元，占资产总额</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16.97%</w:t>
      </w:r>
      <w:r>
        <w:rPr>
          <w:rFonts w:ascii="SimSun" w:hAnsi="SimSun" w:eastAsiaTheme="minorEastAsia" w:cs="SimSun"/>
          <w:color w:val="000000"/>
          <w:sz w:val="21"/>
          <w:szCs w:val="22"/>
          <w:lang w:val="en-US" w:eastAsia="en-US" w:bidi="ar-SA"/>
        </w:rPr>
        <w:t>，管理</w:t>
      </w:r>
    </w:p>
    <w:p>
      <w:pPr>
        <w:framePr w:w="9110" w:x="1798" w:y="1208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层对存货按照可变现净值进行后续计量。可变现净值以存货的预计售价减去至完工时将要发生的</w:t>
      </w:r>
    </w:p>
    <w:p>
      <w:pPr>
        <w:framePr w:w="9110" w:x="1798" w:y="120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成本、估计的销售费用以及相关税费后的金额确定。由于存货金额重大，通常会涉及管理层对未</w:t>
      </w:r>
    </w:p>
    <w:p>
      <w:pPr>
        <w:framePr w:w="9110" w:x="1798" w:y="120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来销售可能性的判断，且存货跌价准备的计算复杂，我们将存货事项确定为关键审计事项。</w:t>
      </w:r>
    </w:p>
    <w:p>
      <w:pPr>
        <w:framePr w:w="1296" w:x="2218" w:y="142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审计应对</w:t>
      </w:r>
    </w:p>
    <w:p>
      <w:pPr>
        <w:framePr w:w="4675" w:x="2218" w:y="147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我们对于存货事项所实施的重要审计程序包括：</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6" type="#_x0000_t75" style="width:445.6pt;height:2.7pt;margin-top:53.65pt;margin-left:87.45pt;mso-position-horizontal-relative:page;mso-position-vertical-relative:page;position:absolute;z-index:-25159680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1" w:name="br1_60"/>
      <w:bookmarkEnd w:id="6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794"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了解生产与仓储相关的关键内部控制，评价控制的设计，确定其是否得到执行，并测试相</w:t>
      </w:r>
    </w:p>
    <w:p>
      <w:pPr>
        <w:framePr w:w="2774"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关内部控制的运行有效性；</w:t>
      </w:r>
    </w:p>
    <w:p>
      <w:pPr>
        <w:framePr w:w="9110" w:x="1798" w:y="24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获取公司的定期盘点记录，核对盘点表与账面记录数据，检查公司对差异结果的处理，评</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价盘点有效性，并制定监盘计划，对期末存货实施监盘程序，关注相关残次、呆滞物料是否被盘</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点人员识别；</w:t>
      </w:r>
    </w:p>
    <w:p>
      <w:pPr>
        <w:framePr w:w="8794" w:x="2218" w:y="3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获取公司的存货跌价准备计算表，对管理层计算可变现净值所涉及的重要依据进行复核，</w:t>
      </w:r>
    </w:p>
    <w:p>
      <w:pPr>
        <w:framePr w:w="6998" w:x="1798" w:y="4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并选取样本进行减值测试，检查公司对存货跌价准备金额计算的准确性；</w:t>
      </w:r>
    </w:p>
    <w:p>
      <w:pPr>
        <w:framePr w:w="8794" w:x="2218" w:y="47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结合销售情况，对存货各期结构变动、市场价格、单位成本等实施实质性分析程序，识别</w:t>
      </w:r>
    </w:p>
    <w:p>
      <w:pPr>
        <w:framePr w:w="4464" w:x="1798" w:y="5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是否存在重大或异常波动，并查明波动原因；</w:t>
      </w:r>
    </w:p>
    <w:p>
      <w:pPr>
        <w:framePr w:w="9110" w:x="1798" w:y="569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2"/>
          <w:sz w:val="21"/>
          <w:szCs w:val="22"/>
          <w:lang w:val="en-US" w:eastAsia="en-US" w:bidi="ar-SA"/>
        </w:rPr>
        <w:t>复核成本计算单，检查直接材料、直接人工及间接费用的计算和分配是否正确，并与佐证</w:t>
      </w:r>
    </w:p>
    <w:p>
      <w:pPr>
        <w:framePr w:w="9110" w:x="1798" w:y="569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文件（如领料记录、生产工时记录、费用分配汇总表等）相核对，以评估成本确认计量的真实性</w:t>
      </w:r>
    </w:p>
    <w:p>
      <w:pPr>
        <w:framePr w:w="9110" w:x="1798" w:y="56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与准确性；</w:t>
      </w:r>
    </w:p>
    <w:p>
      <w:pPr>
        <w:framePr w:w="8794" w:x="2218" w:y="70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2"/>
          <w:sz w:val="21"/>
          <w:szCs w:val="22"/>
          <w:lang w:val="en-US" w:eastAsia="en-US" w:bidi="ar-SA"/>
        </w:rPr>
        <w:t>了解公司生产线产能产量情况，对销量、产量及能源耗用等方面进行配比分析，以评估存</w:t>
      </w:r>
    </w:p>
    <w:p>
      <w:pPr>
        <w:framePr w:w="1930" w:x="1798" w:y="7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货生产的真实性；</w:t>
      </w:r>
    </w:p>
    <w:p>
      <w:pPr>
        <w:framePr w:w="8266" w:x="2218" w:y="7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对存货实施截止性测试，检查存货的入库与发运是否记录在恰当的期间；</w:t>
      </w:r>
    </w:p>
    <w:p>
      <w:pPr>
        <w:framePr w:w="8266" w:x="2218" w:y="7975"/>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检查与存货相关的信息是否已在财务报表中作出恰当列报。</w:t>
      </w:r>
    </w:p>
    <w:p>
      <w:pPr>
        <w:framePr w:w="8266" w:x="2218" w:y="797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基于已执行的审计工作，我们认为，先达农化公司管理层对存货事项的确认是合理的。</w:t>
      </w:r>
    </w:p>
    <w:p>
      <w:pPr>
        <w:framePr w:w="8266" w:x="2218" w:y="797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四、其他信息</w:t>
      </w:r>
    </w:p>
    <w:p>
      <w:pPr>
        <w:framePr w:w="8688" w:x="2218" w:y="100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先达农化公司管理层对其他信息负责。其他信息包括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3"/>
          <w:sz w:val="21"/>
          <w:szCs w:val="22"/>
          <w:lang w:val="en-US" w:eastAsia="en-US" w:bidi="ar-SA"/>
        </w:rPr>
        <w:t>年度报告中涵盖的信息，但不包括</w:t>
      </w:r>
    </w:p>
    <w:p>
      <w:pPr>
        <w:framePr w:w="2986" w:x="1798" w:y="104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财务报表和我们的审计报告。</w:t>
      </w:r>
    </w:p>
    <w:p>
      <w:pPr>
        <w:framePr w:w="9068" w:x="1798" w:y="1102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我们对财务报表发表的审计意见不涵盖其他信息，我们也不对其他信息发表任何形式的鉴证</w:t>
      </w:r>
    </w:p>
    <w:p>
      <w:pPr>
        <w:framePr w:w="9068" w:x="1798" w:y="110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结论。</w:t>
      </w:r>
    </w:p>
    <w:p>
      <w:pPr>
        <w:framePr w:w="9068" w:x="1798" w:y="119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结合我们对财务报表的审计，我们的责任是阅读其他信息，在此过程中，考虑其他信息是否</w:t>
      </w:r>
    </w:p>
    <w:p>
      <w:pPr>
        <w:framePr w:w="9068" w:x="1798" w:y="119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与财务报表或我们在审计过程中了解的情况存在重大不一致或者似乎存在重大错报。</w:t>
      </w:r>
    </w:p>
    <w:p>
      <w:pPr>
        <w:framePr w:w="9068" w:x="1798" w:y="129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基于我们已执行的工作，如果我们确定其他信息存在重大错报，我们应当报告该事实。在这</w:t>
      </w:r>
    </w:p>
    <w:p>
      <w:pPr>
        <w:framePr w:w="9068" w:x="1798" w:y="129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方面，我们无任何事项需要报告。</w:t>
      </w:r>
    </w:p>
    <w:p>
      <w:pPr>
        <w:framePr w:w="3830" w:x="2220" w:y="138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五、管理层和治理层对财务报表的责任</w:t>
      </w:r>
    </w:p>
    <w:p>
      <w:pPr>
        <w:framePr w:w="9068" w:x="1798" w:y="143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先达农化公司管理层负责按照企业会计准则的规定编制财务报表，使其实现公允反映，并设</w:t>
      </w:r>
    </w:p>
    <w:p>
      <w:pPr>
        <w:framePr w:w="9068" w:x="1798" w:y="143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计、执行和维护必要的内部控制，以使财务报表不存在由于舞弊或错误导致的重大错报。</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7" type="#_x0000_t75" style="width:445.6pt;height:2.7pt;margin-top:53.65pt;margin-left:87.45pt;mso-position-horizontal-relative:page;mso-position-vertical-relative:page;position:absolute;z-index:-25159577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2" w:name="br1_61"/>
      <w:bookmarkEnd w:id="6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在编制财务报表时，先达农化公司管理层负责评估先达农化公司的持续经营能力，披露与持</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续经营相关的事项（如适用），并运用持续经营假设，除非管理层计划清算先达农化公司、终止</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运营或别无其他现实的选择。</w:t>
      </w:r>
    </w:p>
    <w:p>
      <w:pPr>
        <w:framePr w:w="4675" w:x="2218" w:y="28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治理层负责监督先达农化公司的财务报告过程。</w:t>
      </w:r>
    </w:p>
    <w:p>
      <w:pPr>
        <w:framePr w:w="4675" w:x="2218" w:y="288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六、注册会计师对财务报表审计的责任</w:t>
      </w:r>
    </w:p>
    <w:p>
      <w:pPr>
        <w:framePr w:w="9110" w:x="1798" w:y="39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我们的目标是对财务报表整体是否不存在由于舞弊或错误导致的重大错报获取合理保证，并</w:t>
      </w:r>
    </w:p>
    <w:p>
      <w:pPr>
        <w:framePr w:w="9110" w:x="1798" w:y="393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出具包含审计意见的审计报告。合理保证是高水平的保证，但并不能保证按照审计准则执行的审</w:t>
      </w:r>
    </w:p>
    <w:p>
      <w:pPr>
        <w:framePr w:w="9110" w:x="1798" w:y="39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计在某一重大错报存在时总能发现。错报可能由于舞弊或错误导致，如果合理预期错报单独或汇</w:t>
      </w:r>
    </w:p>
    <w:p>
      <w:pPr>
        <w:framePr w:w="9110" w:x="1798" w:y="39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总起来可能影响财务报表使用者依据财务报表作出的经济决策，则通常认为错报是重大的。</w:t>
      </w:r>
    </w:p>
    <w:p>
      <w:pPr>
        <w:framePr w:w="9068" w:x="1798" w:y="569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在按照审计准则执行审计工作的过程中，我们运用职业判断，并保持职业怀疑。同时，我们</w:t>
      </w:r>
    </w:p>
    <w:p>
      <w:pPr>
        <w:framePr w:w="9068" w:x="1798" w:y="569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也执行以下工作：</w:t>
      </w:r>
    </w:p>
    <w:p>
      <w:pPr>
        <w:framePr w:w="9110" w:x="1798" w:y="663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识别和评估由于舞弊或错误导致的财务报表重大错报风险，设计和实施审计程序以应对这</w:t>
      </w:r>
    </w:p>
    <w:p>
      <w:pPr>
        <w:framePr w:w="9110" w:x="1798" w:y="66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些风险，并获取充分、适当的审计证据，作为发表审计意见的基础。由于舞弊可能涉及串通、伪</w:t>
      </w:r>
    </w:p>
    <w:p>
      <w:pPr>
        <w:framePr w:w="9110" w:x="1798" w:y="66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造、故意遗漏、虚假陈述或凌驾于内部控制之上，未能发现由于舞弊导致的重大错报的风险高于</w:t>
      </w:r>
    </w:p>
    <w:p>
      <w:pPr>
        <w:framePr w:w="9110" w:x="1798" w:y="66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未能发现由于错误导致的重大错报的风险。</w:t>
      </w:r>
    </w:p>
    <w:p>
      <w:pPr>
        <w:framePr w:w="5520" w:x="2218" w:y="8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了解与审计相关的内部控制，以设计恰当的审计程序。</w:t>
      </w:r>
    </w:p>
    <w:p>
      <w:pPr>
        <w:framePr w:w="7210" w:x="2218" w:y="89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评价管理层选用会计政策的恰当性和作出会计估计及相关披露的合理性。</w:t>
      </w:r>
    </w:p>
    <w:p>
      <w:pPr>
        <w:framePr w:w="9110" w:x="1798" w:y="944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对管理层使用持续经营假设的恰当性得出结论。同时，根据获取的审计证据，就可能导致</w:t>
      </w:r>
    </w:p>
    <w:p>
      <w:pPr>
        <w:framePr w:w="9110" w:x="1798" w:y="94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对先达农化公司持续经营能力产生重大疑虑的事项或情况是否存在重大不确定性得出结论。如果</w:t>
      </w:r>
    </w:p>
    <w:p>
      <w:pPr>
        <w:framePr w:w="9110" w:x="1798" w:y="94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我们得出结论认为存在重大不确定性，审计准则要求我们在审计报告中提请报告使用者注意财务</w:t>
      </w:r>
    </w:p>
    <w:p>
      <w:pPr>
        <w:framePr w:w="9110" w:x="1798" w:y="944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报表中的相关披露；如果披露不充分，我们应当发表非无保留意见。我们的结论基于截至审计报</w:t>
      </w:r>
    </w:p>
    <w:p>
      <w:pPr>
        <w:framePr w:w="9110" w:x="1798" w:y="94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告日可获得的信息。然而，未来的事项或情况可能导致先达农化公司不能持续经营。</w:t>
      </w:r>
    </w:p>
    <w:p>
      <w:pPr>
        <w:framePr w:w="8688" w:x="2218" w:y="116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评价财务报表的总体列报、结构和内容，并评价财务报表是否公允反映相关交易和事项。</w:t>
      </w:r>
    </w:p>
    <w:p>
      <w:pPr>
        <w:framePr w:w="8688" w:x="2218" w:y="121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就先达农化公司中实体或业务活动的财务信息获取充分、适当的审计证据，以对财务报表</w:t>
      </w:r>
    </w:p>
    <w:p>
      <w:pPr>
        <w:framePr w:w="7843" w:x="1798" w:y="125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发表意见。我们负责指导、监督和执行集团审计。我们对审计意见承担全部责任。</w:t>
      </w:r>
    </w:p>
    <w:p>
      <w:pPr>
        <w:framePr w:w="9068" w:x="1798" w:y="1307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我们与治理层就计划的审计范围、时间安排和重大审计发现等事项进行沟通，包括沟通我们</w:t>
      </w:r>
    </w:p>
    <w:p>
      <w:pPr>
        <w:framePr w:w="9068" w:x="1798" w:y="1307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在审计中识别出的值得关注的内部控制缺陷。</w:t>
      </w:r>
    </w:p>
    <w:p>
      <w:pPr>
        <w:framePr w:w="9068" w:x="1798" w:y="1400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我们还就已遵守与独立性相关的职业道德要求向治理层提供声明，并与治理层沟通可能被合</w:t>
      </w:r>
    </w:p>
    <w:p>
      <w:pPr>
        <w:framePr w:w="9068" w:x="1798" w:y="1400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理认为影响我们独立性的所有关系和其他事项，以及相关的防范措施（如适用）。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8" type="#_x0000_t75" style="width:445.6pt;height:2.7pt;margin-top:53.65pt;margin-left:87.45pt;mso-position-horizontal-relative:page;mso-position-vertical-relative:page;position:absolute;z-index:-25159475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3" w:name="br1_62"/>
      <w:bookmarkEnd w:id="6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从与治理层沟通过的事项中，我们确定哪些事项对本期财务报表审计最为重要，因而构成关</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键审计事项。我们在审计报告中描述这些事项，除非法律法规禁止公开披露这些事项，或在极少</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数情形下，如果合理预期在审计报告中沟通某事项造成的负面后果超过在公众利益方面产生的益</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处，我们确定不应在审计报告中沟通该事项。</w:t>
      </w:r>
    </w:p>
    <w:p>
      <w:pPr>
        <w:framePr w:w="3408" w:x="1798" w:y="36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大华会计师事务所</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特殊普通合伙</w:t>
      </w:r>
      <w:r>
        <w:rPr>
          <w:rFonts w:ascii="SimSun" w:eastAsiaTheme="minorEastAsia" w:hAnsiTheme="minorHAnsi" w:cstheme="minorBidi"/>
          <w:color w:val="000000"/>
          <w:sz w:val="21"/>
          <w:szCs w:val="22"/>
          <w:lang w:val="en-US" w:eastAsia="en-US" w:bidi="ar-SA"/>
        </w:rPr>
        <w:t>)</w:t>
      </w:r>
    </w:p>
    <w:p>
      <w:pPr>
        <w:framePr w:w="2765" w:x="7468" w:y="36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中国注册会计师</w:t>
      </w:r>
      <w:r>
        <w:rPr>
          <w:rFonts w:ascii="SimSun" w:eastAsiaTheme="minorEastAsia" w:hAnsiTheme="minorHAnsi" w:cstheme="minorBidi"/>
          <w:color w:val="000000"/>
          <w:sz w:val="21"/>
          <w:szCs w:val="22"/>
          <w:lang w:val="en-US" w:eastAsia="en-US" w:bidi="ar-SA"/>
        </w:rPr>
        <w:t>:</w:t>
      </w:r>
    </w:p>
    <w:p>
      <w:pPr>
        <w:framePr w:w="2765" w:x="7468" w:y="3684"/>
        <w:widowControl w:val="0"/>
        <w:autoSpaceDE w:val="0"/>
        <w:autoSpaceDN w:val="0"/>
        <w:spacing w:before="31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（项目合伙人）</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张媛媛</w:t>
      </w:r>
    </w:p>
    <w:p>
      <w:pPr>
        <w:framePr w:w="2765" w:x="7468" w:y="3684"/>
        <w:widowControl w:val="0"/>
        <w:autoSpaceDE w:val="0"/>
        <w:autoSpaceDN w:val="0"/>
        <w:spacing w:before="31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中国注册会计师</w:t>
      </w:r>
      <w:r>
        <w:rPr>
          <w:rFonts w:ascii="SimSun" w:eastAsiaTheme="minorEastAsia" w:hAnsiTheme="minorHAnsi" w:cstheme="minorBidi"/>
          <w:color w:val="000000"/>
          <w:sz w:val="21"/>
          <w:szCs w:val="22"/>
          <w:lang w:val="en-US" w:eastAsia="en-US" w:bidi="ar-SA"/>
        </w:rPr>
        <w:t>:</w:t>
      </w:r>
    </w:p>
    <w:p>
      <w:pPr>
        <w:framePr w:w="2765" w:x="7468" w:y="3684"/>
        <w:widowControl w:val="0"/>
        <w:autoSpaceDE w:val="0"/>
        <w:autoSpaceDN w:val="0"/>
        <w:spacing w:before="317" w:line="211" w:lineRule="exact"/>
        <w:ind w:left="157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陈磊</w:t>
      </w:r>
    </w:p>
    <w:p>
      <w:pPr>
        <w:framePr w:w="1190" w:x="2532" w:y="4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中国•北京</w:t>
      </w:r>
    </w:p>
    <w:p>
      <w:pPr>
        <w:framePr w:w="2563" w:x="7573" w:y="5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二〇二一年四月二十六日</w:t>
      </w:r>
    </w:p>
    <w:p>
      <w:pPr>
        <w:framePr w:w="1510" w:x="1798" w:y="66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二、财务报表</w:t>
      </w:r>
    </w:p>
    <w:p>
      <w:pPr>
        <w:framePr w:w="1718" w:x="5475" w:y="69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合并资产负债表</w:t>
      </w:r>
    </w:p>
    <w:p>
      <w:pPr>
        <w:framePr w:w="1976" w:x="5348" w:y="73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w:t>
      </w:r>
    </w:p>
    <w:p>
      <w:pPr>
        <w:framePr w:w="3814" w:x="1798" w:y="75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编制单位</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山东先达农化股份有限公司</w:t>
      </w:r>
    </w:p>
    <w:p>
      <w:pPr>
        <w:framePr w:w="2343" w:x="8531" w:y="7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662" w:x="2950" w:y="81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910" w:x="4741" w:y="8155"/>
        <w:widowControl w:val="0"/>
        <w:autoSpaceDE w:val="0"/>
        <w:autoSpaceDN w:val="0"/>
        <w:spacing w:line="211" w:lineRule="exact"/>
        <w:ind w:left="24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附注</w:t>
      </w:r>
    </w:p>
    <w:p>
      <w:pPr>
        <w:framePr w:w="910" w:x="4741" w:y="8155"/>
        <w:widowControl w:val="0"/>
        <w:autoSpaceDE w:val="0"/>
        <w:autoSpaceDN w:val="0"/>
        <w:spacing w:before="363"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1</w:t>
      </w:r>
    </w:p>
    <w:p>
      <w:pPr>
        <w:framePr w:w="1983" w:x="6171" w:y="81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p>
    <w:p>
      <w:pPr>
        <w:framePr w:w="1983" w:x="8651" w:y="81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p>
    <w:p>
      <w:pPr>
        <w:framePr w:w="1296" w:x="1798" w:y="84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流动资产：</w:t>
      </w:r>
    </w:p>
    <w:p>
      <w:pPr>
        <w:framePr w:w="1296" w:x="1798" w:y="8443"/>
        <w:widowControl w:val="0"/>
        <w:autoSpaceDE w:val="0"/>
        <w:autoSpaceDN w:val="0"/>
        <w:spacing w:before="75"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718" w:x="6741" w:y="87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505,708,846.56</w:t>
      </w:r>
    </w:p>
    <w:p>
      <w:pPr>
        <w:framePr w:w="1718" w:x="6741" w:y="8729"/>
        <w:widowControl w:val="0"/>
        <w:autoSpaceDE w:val="0"/>
        <w:autoSpaceDN w:val="0"/>
        <w:spacing w:before="65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80,384,715.04</w:t>
      </w:r>
    </w:p>
    <w:p>
      <w:pPr>
        <w:framePr w:w="1718" w:x="9148" w:y="87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517,409,060.19</w:t>
      </w:r>
    </w:p>
    <w:p>
      <w:pPr>
        <w:framePr w:w="1296" w:x="2009" w:y="90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结算备付金</w:t>
      </w:r>
    </w:p>
    <w:p>
      <w:pPr>
        <w:framePr w:w="1296" w:x="2009" w:y="901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拆出资金</w:t>
      </w:r>
    </w:p>
    <w:p>
      <w:pPr>
        <w:framePr w:w="1718" w:x="2009" w:y="9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718" w:x="2009" w:y="959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718" w:x="2009" w:y="959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768" w:x="4741" w:y="95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2</w:t>
      </w:r>
    </w:p>
    <w:p>
      <w:pPr>
        <w:framePr w:w="1613" w:x="9254" w:y="95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55,822,821.60</w:t>
      </w:r>
    </w:p>
    <w:p>
      <w:pPr>
        <w:framePr w:w="768" w:x="4741" w:y="1016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4</w:t>
      </w:r>
    </w:p>
    <w:p>
      <w:pPr>
        <w:framePr w:w="768" w:x="4741" w:y="1016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5</w:t>
      </w:r>
    </w:p>
    <w:p>
      <w:pPr>
        <w:framePr w:w="768" w:x="4741" w:y="10167"/>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6</w:t>
      </w:r>
    </w:p>
    <w:p>
      <w:pPr>
        <w:framePr w:w="768" w:x="4741" w:y="1016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7</w:t>
      </w:r>
    </w:p>
    <w:p>
      <w:pPr>
        <w:framePr w:w="1718" w:x="9148" w:y="10167"/>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1718" w:x="9148" w:y="1016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286,626,640.04</w:t>
      </w:r>
    </w:p>
    <w:p>
      <w:pPr>
        <w:framePr w:w="1718" w:x="9148" w:y="10167"/>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1718" w:x="9148" w:y="10167"/>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14,665,853.92</w:t>
      </w:r>
    </w:p>
    <w:p>
      <w:pPr>
        <w:framePr w:w="1085" w:x="2009" w:y="10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718" w:x="6741" w:y="104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207,747,577.03</w:t>
      </w:r>
    </w:p>
    <w:p>
      <w:pPr>
        <w:framePr w:w="1718" w:x="6741" w:y="10455"/>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10,688,694.00</w:t>
      </w:r>
    </w:p>
    <w:p>
      <w:pPr>
        <w:framePr w:w="1718" w:x="6741" w:y="10455"/>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53,150,841.31</w:t>
      </w:r>
    </w:p>
    <w:p>
      <w:pPr>
        <w:framePr w:w="1507" w:x="2009" w:y="107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w:t>
      </w:r>
    </w:p>
    <w:p>
      <w:pPr>
        <w:framePr w:w="1507" w:x="2009" w:y="1074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085" w:x="2009" w:y="11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应收保费</w:t>
      </w:r>
    </w:p>
    <w:p>
      <w:pPr>
        <w:framePr w:w="2141" w:x="2009" w:y="116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应收分保账款</w:t>
      </w:r>
    </w:p>
    <w:p>
      <w:pPr>
        <w:framePr w:w="2141" w:x="2009" w:y="11605"/>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应收分保合同准备金</w:t>
      </w:r>
    </w:p>
    <w:p>
      <w:pPr>
        <w:framePr w:w="2141" w:x="2009" w:y="1160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874" w:x="4741" w:y="121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8</w:t>
      </w:r>
    </w:p>
    <w:p>
      <w:pPr>
        <w:framePr w:w="874" w:x="4741" w:y="12178"/>
        <w:widowControl w:val="0"/>
        <w:autoSpaceDE w:val="0"/>
        <w:autoSpaceDN w:val="0"/>
        <w:spacing w:before="939"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9</w:t>
      </w:r>
    </w:p>
    <w:p>
      <w:pPr>
        <w:framePr w:w="874" w:x="4741" w:y="12178"/>
        <w:widowControl w:val="0"/>
        <w:autoSpaceDE w:val="0"/>
        <w:autoSpaceDN w:val="0"/>
        <w:spacing w:before="938"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12</w:t>
      </w:r>
    </w:p>
    <w:p>
      <w:pPr>
        <w:framePr w:w="1718" w:x="6741" w:y="1217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14,525,828.66</w:t>
      </w:r>
    </w:p>
    <w:p>
      <w:pPr>
        <w:framePr w:w="1718" w:x="6741" w:y="12178"/>
        <w:widowControl w:val="0"/>
        <w:autoSpaceDE w:val="0"/>
        <w:autoSpaceDN w:val="0"/>
        <w:spacing w:before="9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396,308,934.43</w:t>
      </w:r>
    </w:p>
    <w:p>
      <w:pPr>
        <w:framePr w:w="1507" w:x="9360" w:y="121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718" w:x="2009" w:y="124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其中：应收利息</w:t>
      </w:r>
    </w:p>
    <w:p>
      <w:pPr>
        <w:framePr w:w="1718" w:x="2009" w:y="12467"/>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1930" w:x="2009" w:y="13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买入返售金融资产</w:t>
      </w:r>
    </w:p>
    <w:p>
      <w:pPr>
        <w:framePr w:w="1930" w:x="2009" w:y="13040"/>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1718" w:x="9148" w:y="133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433,650,594.00</w:t>
      </w:r>
    </w:p>
    <w:p>
      <w:pPr>
        <w:framePr w:w="1085" w:x="2009" w:y="136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2765" w:x="1798" w:y="13902"/>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持有待售资产</w:t>
      </w:r>
    </w:p>
    <w:p>
      <w:pPr>
        <w:framePr w:w="2765" w:x="1798" w:y="13902"/>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w:t>
      </w:r>
    </w:p>
    <w:p>
      <w:pPr>
        <w:framePr w:w="2765" w:x="1798" w:y="13902"/>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其他流动资产</w:t>
      </w:r>
    </w:p>
    <w:p>
      <w:pPr>
        <w:framePr w:w="2765" w:x="1798" w:y="13902"/>
        <w:widowControl w:val="0"/>
        <w:autoSpaceDE w:val="0"/>
        <w:autoSpaceDN w:val="0"/>
        <w:spacing w:before="7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流动资产合计</w:t>
      </w:r>
    </w:p>
    <w:p>
      <w:pPr>
        <w:framePr w:w="2765" w:x="1798" w:y="13902"/>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非流动资产：</w:t>
      </w:r>
    </w:p>
    <w:p>
      <w:pPr>
        <w:framePr w:w="1718" w:x="6741" w:y="144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104,402,633.56</w:t>
      </w:r>
    </w:p>
    <w:p>
      <w:pPr>
        <w:framePr w:w="1613" w:x="9254" w:y="144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85,937,187.03</w:t>
      </w:r>
    </w:p>
    <w:p>
      <w:pPr>
        <w:framePr w:w="1930" w:x="6532" w:y="147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1,372,918,070.59</w:t>
      </w:r>
    </w:p>
    <w:p>
      <w:pPr>
        <w:framePr w:w="1930" w:x="8940" w:y="147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1,412,505,608.75</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9" type="#_x0000_t75" style="width:445.6pt;height:2.7pt;margin-top:53.65pt;margin-left:87.45pt;mso-position-horizontal-relative:page;mso-position-vertical-relative:page;position:absolute;z-index:-251214848">
            <v:imagedata r:id="rId132" o:title=""/>
          </v:shape>
        </w:pict>
      </w:r>
      <w:r>
        <w:rPr>
          <w:noProof/>
        </w:rPr>
        <w:pict>
          <v:shape id="_x0000_s1180" type="#_x0000_t75" style="width:33.45pt;height:2.6pt;margin-top:193.7pt;margin-left:451.4pt;mso-position-horizontal-relative:page;mso-position-vertical-relative:page;position:absolute;z-index:-251292672">
            <v:imagedata r:id="rId133" o:title=""/>
          </v:shape>
        </w:pict>
      </w:r>
      <w:r>
        <w:rPr>
          <w:noProof/>
        </w:rPr>
        <w:pict>
          <v:shape id="_x0000_s1181" type="#_x0000_t75" style="width:33.45pt;height:2.6pt;margin-top:246.5pt;margin-left:451.25pt;mso-position-horizontal-relative:page;mso-position-vertical-relative:page;position:absolute;z-index:-251415552">
            <v:imagedata r:id="rId134" o:title=""/>
          </v:shape>
        </w:pict>
      </w:r>
      <w:r>
        <w:rPr>
          <w:noProof/>
        </w:rPr>
        <w:pict>
          <v:shape id="_x0000_s1182" type="#_x0000_t75" style="width:454.7pt;height:361.95pt;margin-top:404.55pt;margin-left:83.15pt;mso-position-horizontal-relative:page;mso-position-vertical-relative:page;position:absolute;z-index:-251593728">
            <v:imagedata r:id="rId135" o:title=""/>
          </v:shape>
        </w:pict>
      </w:r>
    </w:p>
    <w:p>
      <w:pPr>
        <w:spacing w:line="0" w:lineRule="atLeast"/>
        <w:rPr>
          <w:rFonts w:ascii="Arial" w:eastAsiaTheme="minorEastAsia" w:hAnsiTheme="minorHAnsi" w:cstheme="minorBidi"/>
          <w:color w:val="FF0000"/>
          <w:sz w:val="2"/>
          <w:szCs w:val="22"/>
          <w:lang w:val="en-US" w:eastAsia="en-US" w:bidi="ar-SA"/>
        </w:rPr>
      </w:pPr>
      <w:bookmarkStart w:id="64" w:name="br1_63"/>
      <w:bookmarkEnd w:id="6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718" w:x="2009" w:y="15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发放贷款和垫款</w:t>
      </w:r>
    </w:p>
    <w:p>
      <w:pPr>
        <w:framePr w:w="1718" w:x="2009" w:y="1552"/>
        <w:widowControl w:val="0"/>
        <w:autoSpaceDE w:val="0"/>
        <w:autoSpaceDN w:val="0"/>
        <w:spacing w:before="7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w:t>
      </w:r>
    </w:p>
    <w:p>
      <w:pPr>
        <w:framePr w:w="1507" w:x="2009" w:y="21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w:t>
      </w:r>
    </w:p>
    <w:p>
      <w:pPr>
        <w:framePr w:w="1507" w:x="2009" w:y="212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长期应收款</w:t>
      </w:r>
    </w:p>
    <w:p>
      <w:pPr>
        <w:framePr w:w="2141" w:x="2009" w:y="2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w:t>
      </w:r>
    </w:p>
    <w:p>
      <w:pPr>
        <w:framePr w:w="2141" w:x="2009" w:y="2702"/>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w:t>
      </w:r>
    </w:p>
    <w:p>
      <w:pPr>
        <w:framePr w:w="2141" w:x="2009" w:y="270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其他非流动金融资产</w:t>
      </w:r>
    </w:p>
    <w:p>
      <w:pPr>
        <w:framePr w:w="2141" w:x="2009" w:y="270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w:t>
      </w:r>
    </w:p>
    <w:p>
      <w:pPr>
        <w:framePr w:w="2141" w:x="2009" w:y="2702"/>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874" w:x="4741" w:y="35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19</w:t>
      </w:r>
    </w:p>
    <w:p>
      <w:pPr>
        <w:framePr w:w="874" w:x="4741" w:y="3564"/>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20</w:t>
      </w:r>
    </w:p>
    <w:p>
      <w:pPr>
        <w:framePr w:w="874" w:x="4741" w:y="3564"/>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21</w:t>
      </w:r>
    </w:p>
    <w:p>
      <w:pPr>
        <w:framePr w:w="1507" w:x="6952" w:y="35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2,747,508.90</w:t>
      </w:r>
    </w:p>
    <w:p>
      <w:pPr>
        <w:framePr w:w="1718" w:x="9148" w:y="3564"/>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1718" w:x="9148" w:y="3564"/>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718" w:x="9148" w:y="3564"/>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374,789,113.33</w:t>
      </w:r>
    </w:p>
    <w:p>
      <w:pPr>
        <w:framePr w:w="1718" w:x="6741" w:y="38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537,175,841.18</w:t>
      </w:r>
    </w:p>
    <w:p>
      <w:pPr>
        <w:framePr w:w="1718" w:x="6741" w:y="384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261,211,350.64</w:t>
      </w:r>
    </w:p>
    <w:p>
      <w:pPr>
        <w:framePr w:w="1085" w:x="2009" w:y="4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718" w:x="2009" w:y="4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生产性生物资产</w:t>
      </w:r>
    </w:p>
    <w:p>
      <w:pPr>
        <w:framePr w:w="1718" w:x="2009" w:y="442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油气资产</w:t>
      </w:r>
    </w:p>
    <w:p>
      <w:pPr>
        <w:framePr w:w="1296" w:x="2009" w:y="49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使用权资产</w:t>
      </w:r>
    </w:p>
    <w:p>
      <w:pPr>
        <w:framePr w:w="1085" w:x="2009" w:y="5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874" w:x="4741" w:y="52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25</w:t>
      </w:r>
    </w:p>
    <w:p>
      <w:pPr>
        <w:framePr w:w="1718" w:x="6741" w:y="52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116,008,967.67</w:t>
      </w:r>
    </w:p>
    <w:p>
      <w:pPr>
        <w:framePr w:w="1718" w:x="9148" w:y="52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118,694,309.33</w:t>
      </w:r>
    </w:p>
    <w:p>
      <w:pPr>
        <w:framePr w:w="1085" w:x="2009" w:y="55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开发支出</w:t>
      </w:r>
    </w:p>
    <w:p>
      <w:pPr>
        <w:framePr w:w="662" w:x="2009" w:y="5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商誉</w:t>
      </w:r>
    </w:p>
    <w:p>
      <w:pPr>
        <w:framePr w:w="1923" w:x="2009" w:y="6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w:t>
      </w:r>
    </w:p>
    <w:p>
      <w:pPr>
        <w:framePr w:w="1923" w:x="2009" w:y="614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w:t>
      </w:r>
    </w:p>
    <w:p>
      <w:pPr>
        <w:framePr w:w="1923" w:x="2009" w:y="614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其他非流动资产</w:t>
      </w:r>
    </w:p>
    <w:p>
      <w:pPr>
        <w:framePr w:w="1923" w:x="2009" w:y="6149"/>
        <w:widowControl w:val="0"/>
        <w:autoSpaceDE w:val="0"/>
        <w:autoSpaceDN w:val="0"/>
        <w:spacing w:before="74"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非流动资产合计</w:t>
      </w:r>
    </w:p>
    <w:p>
      <w:pPr>
        <w:framePr w:w="1923" w:x="2009" w:y="6149"/>
        <w:widowControl w:val="0"/>
        <w:autoSpaceDE w:val="0"/>
        <w:autoSpaceDN w:val="0"/>
        <w:spacing w:before="7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资产总计</w:t>
      </w:r>
    </w:p>
    <w:p>
      <w:pPr>
        <w:framePr w:w="874" w:x="4741" w:y="64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29</w:t>
      </w:r>
    </w:p>
    <w:p>
      <w:pPr>
        <w:framePr w:w="874" w:x="4741" w:y="643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30</w:t>
      </w:r>
    </w:p>
    <w:p>
      <w:pPr>
        <w:framePr w:w="1613" w:x="6846" w:y="643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5,754,148.02</w:t>
      </w:r>
    </w:p>
    <w:p>
      <w:pPr>
        <w:framePr w:w="1613" w:x="6846" w:y="643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39,186,319.40</w:t>
      </w:r>
    </w:p>
    <w:p>
      <w:pPr>
        <w:framePr w:w="1613" w:x="9254" w:y="643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9,731,431.83</w:t>
      </w:r>
    </w:p>
    <w:p>
      <w:pPr>
        <w:framePr w:w="1613" w:x="9254" w:y="643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48,142,666.64</w:t>
      </w:r>
    </w:p>
    <w:p>
      <w:pPr>
        <w:framePr w:w="1930" w:x="6532" w:y="7011"/>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962,084,135.81</w:t>
      </w:r>
    </w:p>
    <w:p>
      <w:pPr>
        <w:framePr w:w="1930" w:x="6532" w:y="7011"/>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2,335,002,206.40</w:t>
      </w:r>
    </w:p>
    <w:p>
      <w:pPr>
        <w:framePr w:w="1930" w:x="8940" w:y="7011"/>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891,639,864.53</w:t>
      </w:r>
    </w:p>
    <w:p>
      <w:pPr>
        <w:framePr w:w="1930" w:x="8940" w:y="7011"/>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2,304,145,473.28</w:t>
      </w:r>
    </w:p>
    <w:p>
      <w:pPr>
        <w:framePr w:w="1296" w:x="1798" w:y="75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流动负债：</w:t>
      </w:r>
    </w:p>
    <w:p>
      <w:pPr>
        <w:framePr w:w="1085" w:x="2009" w:y="7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w:t>
      </w:r>
    </w:p>
    <w:p>
      <w:pPr>
        <w:framePr w:w="874" w:x="4741" w:y="78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31</w:t>
      </w:r>
    </w:p>
    <w:p>
      <w:pPr>
        <w:framePr w:w="1613" w:x="9254" w:y="78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40,000,000.00</w:t>
      </w:r>
    </w:p>
    <w:p>
      <w:pPr>
        <w:framePr w:w="1613" w:x="9254" w:y="7875"/>
        <w:widowControl w:val="0"/>
        <w:autoSpaceDE w:val="0"/>
        <w:autoSpaceDN w:val="0"/>
        <w:spacing w:before="651"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718" w:x="2009" w:y="8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向中央银行借款</w:t>
      </w:r>
    </w:p>
    <w:p>
      <w:pPr>
        <w:framePr w:w="1718" w:x="2009" w:y="8160"/>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拆入资金</w:t>
      </w:r>
    </w:p>
    <w:p>
      <w:pPr>
        <w:framePr w:w="1718" w:x="2009" w:y="87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718" w:x="2009" w:y="873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718" w:x="2009" w:y="8737"/>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1190" w:x="7266" w:y="87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874" w:x="4741" w:y="9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34</w:t>
      </w:r>
    </w:p>
    <w:p>
      <w:pPr>
        <w:framePr w:w="874" w:x="4741" w:y="9310"/>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35</w:t>
      </w:r>
    </w:p>
    <w:p>
      <w:pPr>
        <w:framePr w:w="1718" w:x="6741" w:y="9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265,430,000.00</w:t>
      </w:r>
    </w:p>
    <w:p>
      <w:pPr>
        <w:framePr w:w="1718" w:x="6741" w:y="9310"/>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174,695,394.97</w:t>
      </w:r>
    </w:p>
    <w:p>
      <w:pPr>
        <w:framePr w:w="1718" w:x="9148" w:y="9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1718" w:x="9148" w:y="9310"/>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205,145,130.91</w:t>
      </w:r>
    </w:p>
    <w:p>
      <w:pPr>
        <w:framePr w:w="1718" w:x="9148" w:y="9310"/>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1085" w:x="2009" w:y="9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1085" w:x="2009" w:y="98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预收款项</w:t>
      </w:r>
    </w:p>
    <w:p>
      <w:pPr>
        <w:framePr w:w="1085" w:x="2009" w:y="101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w:t>
      </w:r>
    </w:p>
    <w:p>
      <w:pPr>
        <w:framePr w:w="1718" w:x="6741" w:y="101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108,252,970.88</w:t>
      </w:r>
    </w:p>
    <w:p>
      <w:pPr>
        <w:framePr w:w="2141" w:x="2009" w:y="104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卖出回购金融资产款</w:t>
      </w:r>
    </w:p>
    <w:p>
      <w:pPr>
        <w:framePr w:w="2141" w:x="2009" w:y="10460"/>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吸收存款及同业存放</w:t>
      </w:r>
    </w:p>
    <w:p>
      <w:pPr>
        <w:framePr w:w="2141" w:x="2009" w:y="10460"/>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代理买卖证券款</w:t>
      </w:r>
    </w:p>
    <w:p>
      <w:pPr>
        <w:framePr w:w="2141" w:x="2009" w:y="10460"/>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代理承销证券款</w:t>
      </w:r>
    </w:p>
    <w:p>
      <w:pPr>
        <w:framePr w:w="2141" w:x="2009" w:y="10460"/>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应付职工薪酬</w:t>
      </w:r>
    </w:p>
    <w:p>
      <w:pPr>
        <w:framePr w:w="2141" w:x="2009" w:y="10460"/>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874" w:x="4741" w:y="116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37</w:t>
      </w:r>
    </w:p>
    <w:p>
      <w:pPr>
        <w:framePr w:w="874" w:x="4741" w:y="1160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38</w:t>
      </w:r>
    </w:p>
    <w:p>
      <w:pPr>
        <w:framePr w:w="874" w:x="4741" w:y="1160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39</w:t>
      </w:r>
    </w:p>
    <w:p>
      <w:pPr>
        <w:framePr w:w="1613" w:x="6846" w:y="116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41,368,978.49</w:t>
      </w:r>
    </w:p>
    <w:p>
      <w:pPr>
        <w:framePr w:w="1613" w:x="6846" w:y="11609"/>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1,474,708.92</w:t>
      </w:r>
    </w:p>
    <w:p>
      <w:pPr>
        <w:framePr w:w="1613" w:x="6846" w:y="1160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16,123,183.20</w:t>
      </w:r>
    </w:p>
    <w:p>
      <w:pPr>
        <w:framePr w:w="1613" w:x="9254" w:y="116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p>
    <w:p>
      <w:pPr>
        <w:framePr w:w="1613" w:x="9254" w:y="11609"/>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1613" w:x="9254" w:y="11609"/>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296" w:x="2009" w:y="121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718" w:x="2009" w:y="124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其中：应付利息</w:t>
      </w:r>
    </w:p>
    <w:p>
      <w:pPr>
        <w:framePr w:w="1718" w:x="2009" w:y="12472"/>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2765" w:x="1798" w:y="13048"/>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应付手续费及佣金</w:t>
      </w:r>
    </w:p>
    <w:p>
      <w:pPr>
        <w:framePr w:w="2765" w:x="1798" w:y="13048"/>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应付分保账款</w:t>
      </w:r>
    </w:p>
    <w:p>
      <w:pPr>
        <w:framePr w:w="2765" w:x="1798" w:y="1304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持有待售负债</w:t>
      </w:r>
    </w:p>
    <w:p>
      <w:pPr>
        <w:framePr w:w="2765" w:x="1798" w:y="1304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一年内到期的非流动负债</w:t>
      </w:r>
    </w:p>
    <w:p>
      <w:pPr>
        <w:framePr w:w="2765" w:x="1798" w:y="1304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w:t>
      </w:r>
    </w:p>
    <w:p>
      <w:pPr>
        <w:framePr w:w="2765" w:x="1798" w:y="13048"/>
        <w:widowControl w:val="0"/>
        <w:autoSpaceDE w:val="0"/>
        <w:autoSpaceDN w:val="0"/>
        <w:spacing w:before="74"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流动负债合计</w:t>
      </w:r>
    </w:p>
    <w:p>
      <w:pPr>
        <w:framePr w:w="2765" w:x="1798" w:y="1304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非流动负债：</w:t>
      </w:r>
    </w:p>
    <w:p>
      <w:pPr>
        <w:framePr w:w="2765" w:x="1798" w:y="1304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保险合同准备金</w:t>
      </w:r>
    </w:p>
    <w:p>
      <w:pPr>
        <w:framePr w:w="874" w:x="4741" w:y="13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41</w:t>
      </w:r>
    </w:p>
    <w:p>
      <w:pPr>
        <w:framePr w:w="1718" w:x="9148" w:y="1390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1718" w:x="9148" w:y="13909"/>
        <w:widowControl w:val="0"/>
        <w:autoSpaceDE w:val="0"/>
        <w:autoSpaceDN w:val="0"/>
        <w:spacing w:before="36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588,425,390.84</w:t>
      </w:r>
    </w:p>
    <w:p>
      <w:pPr>
        <w:framePr w:w="1507" w:x="6952" w:y="141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3,116,340.19</w:t>
      </w:r>
    </w:p>
    <w:p>
      <w:pPr>
        <w:framePr w:w="1718" w:x="6741" w:y="144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610,527,372.15</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83" type="#_x0000_t75" style="width:445.6pt;height:2.7pt;margin-top:53.65pt;margin-left:87.45pt;mso-position-horizontal-relative:page;mso-position-vertical-relative:page;position:absolute;z-index:-251414528">
            <v:imagedata r:id="rId136" o:title=""/>
          </v:shape>
        </w:pict>
      </w:r>
      <w:r>
        <w:rPr>
          <w:noProof/>
        </w:rPr>
        <w:pict>
          <v:shape id="_x0000_s1184" type="#_x0000_t75" style="width:454.7pt;height:692.6pt;margin-top:74.3pt;margin-left:83.15pt;mso-position-horizontal-relative:page;mso-position-vertical-relative:page;position:absolute;z-index:-251592704">
            <v:imagedata r:id="rId137" o:title=""/>
          </v:shape>
        </w:pict>
      </w:r>
    </w:p>
    <w:p>
      <w:pPr>
        <w:spacing w:line="0" w:lineRule="atLeast"/>
        <w:rPr>
          <w:rFonts w:ascii="Arial" w:eastAsiaTheme="minorEastAsia" w:hAnsiTheme="minorHAnsi" w:cstheme="minorBidi"/>
          <w:color w:val="FF0000"/>
          <w:sz w:val="2"/>
          <w:szCs w:val="22"/>
          <w:lang w:val="en-US" w:eastAsia="en-US" w:bidi="ar-SA"/>
        </w:rPr>
      </w:pPr>
      <w:bookmarkStart w:id="65" w:name="br1_64"/>
      <w:bookmarkEnd w:id="6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2009" w:y="15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874" w:x="4741" w:y="15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43</w:t>
      </w:r>
    </w:p>
    <w:p>
      <w:pPr>
        <w:framePr w:w="1718" w:x="9148" w:y="15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1085" w:x="2009" w:y="18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应付债券</w:t>
      </w:r>
    </w:p>
    <w:p>
      <w:pPr>
        <w:framePr w:w="1507" w:x="2009" w:y="21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1507" w:x="2009" w:y="2126"/>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085" w:x="2009" w:y="2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租赁负债</w:t>
      </w:r>
    </w:p>
    <w:p>
      <w:pPr>
        <w:framePr w:w="1296" w:x="2009" w:y="2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1930" w:x="2009" w:y="32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长期应付职工薪酬</w:t>
      </w:r>
    </w:p>
    <w:p>
      <w:pPr>
        <w:framePr w:w="1930" w:x="2009" w:y="327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874" w:x="4741" w:y="35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48</w:t>
      </w:r>
    </w:p>
    <w:p>
      <w:pPr>
        <w:framePr w:w="874" w:x="4741" w:y="3564"/>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49</w:t>
      </w:r>
    </w:p>
    <w:p>
      <w:pPr>
        <w:framePr w:w="874" w:x="4741" w:y="3564"/>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29</w:t>
      </w:r>
    </w:p>
    <w:p>
      <w:pPr>
        <w:framePr w:w="1613" w:x="6844" w:y="3564"/>
        <w:widowControl w:val="0"/>
        <w:autoSpaceDE w:val="0"/>
        <w:autoSpaceDN w:val="0"/>
        <w:spacing w:line="211" w:lineRule="exact"/>
        <w:ind w:left="10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1,310,525.28</w:t>
      </w:r>
    </w:p>
    <w:p>
      <w:pPr>
        <w:framePr w:w="1613" w:x="6844" w:y="3564"/>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17,672,248.48</w:t>
      </w:r>
    </w:p>
    <w:p>
      <w:pPr>
        <w:framePr w:w="1613" w:x="6844" w:y="3564"/>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1,710,085.93</w:t>
      </w:r>
    </w:p>
    <w:p>
      <w:pPr>
        <w:framePr w:w="1613" w:x="9254" w:y="35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1613" w:x="9254" w:y="3564"/>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p>
    <w:p>
      <w:pPr>
        <w:framePr w:w="1613" w:x="9254" w:y="3564"/>
        <w:widowControl w:val="0"/>
        <w:autoSpaceDE w:val="0"/>
        <w:autoSpaceDN w:val="0"/>
        <w:spacing w:before="77"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102,871.18</w:t>
      </w:r>
    </w:p>
    <w:p>
      <w:pPr>
        <w:framePr w:w="1085" w:x="2009" w:y="3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923" w:x="2009" w:y="4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923" w:x="2009" w:y="413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其他非流动负债</w:t>
      </w:r>
    </w:p>
    <w:p>
      <w:pPr>
        <w:framePr w:w="1923" w:x="2009" w:y="4137"/>
        <w:widowControl w:val="0"/>
        <w:autoSpaceDE w:val="0"/>
        <w:autoSpaceDN w:val="0"/>
        <w:spacing w:before="77"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非流动负债合计</w:t>
      </w:r>
    </w:p>
    <w:p>
      <w:pPr>
        <w:framePr w:w="1923" w:x="2009" w:y="4137"/>
        <w:widowControl w:val="0"/>
        <w:autoSpaceDE w:val="0"/>
        <w:autoSpaceDN w:val="0"/>
        <w:spacing w:before="74"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负债合计</w:t>
      </w:r>
    </w:p>
    <w:p>
      <w:pPr>
        <w:framePr w:w="1613" w:x="6846" w:y="4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20,692,859.69</w:t>
      </w:r>
    </w:p>
    <w:p>
      <w:pPr>
        <w:framePr w:w="1718" w:x="9148" w:y="4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158,543,701.74</w:t>
      </w:r>
    </w:p>
    <w:p>
      <w:pPr>
        <w:framePr w:w="1718" w:x="9148" w:y="4713"/>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746,969,092.58</w:t>
      </w:r>
    </w:p>
    <w:p>
      <w:pPr>
        <w:framePr w:w="1718" w:x="6741" w:y="49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631,220,231.84</w:t>
      </w:r>
    </w:p>
    <w:p>
      <w:pPr>
        <w:framePr w:w="2986" w:x="1798" w:y="5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所有者权益（或股东权益）：</w:t>
      </w:r>
    </w:p>
    <w:p>
      <w:pPr>
        <w:framePr w:w="2986" w:x="1798" w:y="528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实收资本（或股本）</w:t>
      </w:r>
    </w:p>
    <w:p>
      <w:pPr>
        <w:framePr w:w="2986" w:x="1798" w:y="528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w:t>
      </w:r>
    </w:p>
    <w:p>
      <w:pPr>
        <w:framePr w:w="2986" w:x="1798" w:y="5288"/>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2986" w:x="1798" w:y="5288"/>
        <w:widowControl w:val="0"/>
        <w:autoSpaceDE w:val="0"/>
        <w:autoSpaceDN w:val="0"/>
        <w:spacing w:before="77" w:line="211" w:lineRule="exact"/>
        <w:ind w:left="8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874" w:x="4741" w:y="55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51</w:t>
      </w:r>
    </w:p>
    <w:p>
      <w:pPr>
        <w:framePr w:w="874" w:x="4741" w:y="5575"/>
        <w:widowControl w:val="0"/>
        <w:autoSpaceDE w:val="0"/>
        <w:autoSpaceDN w:val="0"/>
        <w:spacing w:before="938"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53</w:t>
      </w:r>
    </w:p>
    <w:p>
      <w:pPr>
        <w:framePr w:w="1718" w:x="6741" w:y="55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158,490,000.00</w:t>
      </w:r>
    </w:p>
    <w:p>
      <w:pPr>
        <w:framePr w:w="1718" w:x="9148" w:y="55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085" w:x="2009" w:y="67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资本公积</w:t>
      </w:r>
    </w:p>
    <w:p>
      <w:pPr>
        <w:framePr w:w="1718" w:x="6741" w:y="67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415,543,762.58</w:t>
      </w:r>
    </w:p>
    <w:p>
      <w:pPr>
        <w:framePr w:w="1718" w:x="6741" w:y="6725"/>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1718" w:x="9148" w:y="67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445,021,562.58</w:t>
      </w:r>
    </w:p>
    <w:p>
      <w:pPr>
        <w:framePr w:w="1296" w:x="2009" w:y="70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减：库存股</w:t>
      </w:r>
    </w:p>
    <w:p>
      <w:pPr>
        <w:framePr w:w="1507" w:x="2009" w:y="72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w:t>
      </w:r>
    </w:p>
    <w:p>
      <w:pPr>
        <w:framePr w:w="1507" w:x="2009" w:y="72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874" w:x="4741" w:y="75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56</w:t>
      </w:r>
    </w:p>
    <w:p>
      <w:pPr>
        <w:framePr w:w="874" w:x="4741" w:y="758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57</w:t>
      </w:r>
    </w:p>
    <w:p>
      <w:pPr>
        <w:framePr w:w="1613" w:x="6846" w:y="75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39,559,572.65</w:t>
      </w:r>
    </w:p>
    <w:p>
      <w:pPr>
        <w:framePr w:w="1613" w:x="6846" w:y="758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63,078,326.02</w:t>
      </w:r>
    </w:p>
    <w:p>
      <w:pPr>
        <w:framePr w:w="1613" w:x="9254" w:y="75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613" w:x="9254" w:y="758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085" w:x="2009" w:y="7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w:t>
      </w:r>
    </w:p>
    <w:p>
      <w:pPr>
        <w:framePr w:w="1507" w:x="2009" w:y="8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一般风险准备</w:t>
      </w:r>
    </w:p>
    <w:p>
      <w:pPr>
        <w:framePr w:w="1507" w:x="2009" w:y="8160"/>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未分配利润</w:t>
      </w:r>
    </w:p>
    <w:p>
      <w:pPr>
        <w:framePr w:w="874" w:x="4741" w:y="84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58</w:t>
      </w:r>
    </w:p>
    <w:p>
      <w:pPr>
        <w:framePr w:w="1930" w:x="6532" w:y="84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1,040,478,213.31</w:t>
      </w:r>
    </w:p>
    <w:p>
      <w:pPr>
        <w:framePr w:w="1930" w:x="6532" w:y="844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1,703,781,974.56</w:t>
      </w:r>
    </w:p>
    <w:p>
      <w:pPr>
        <w:framePr w:w="1718" w:x="9148" w:y="84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2765" w:x="1798" w:y="8737"/>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归属于母公司所有者权益</w:t>
      </w:r>
    </w:p>
    <w:p>
      <w:pPr>
        <w:framePr w:w="2765" w:x="1798" w:y="873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（或股东权益）合计</w:t>
      </w:r>
    </w:p>
    <w:p>
      <w:pPr>
        <w:framePr w:w="2765" w:x="1798" w:y="8737"/>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少数股东权益</w:t>
      </w:r>
    </w:p>
    <w:p>
      <w:pPr>
        <w:framePr w:w="2765" w:x="1798" w:y="8737"/>
        <w:widowControl w:val="0"/>
        <w:autoSpaceDE w:val="0"/>
        <w:autoSpaceDN w:val="0"/>
        <w:spacing w:before="7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所有者权益（或股东权</w:t>
      </w:r>
    </w:p>
    <w:p>
      <w:pPr>
        <w:framePr w:w="2765" w:x="1798" w:y="873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益）合计</w:t>
      </w:r>
    </w:p>
    <w:p>
      <w:pPr>
        <w:framePr w:w="1930" w:x="8940" w:y="87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1,557,176,380.70</w:t>
      </w:r>
    </w:p>
    <w:p>
      <w:pPr>
        <w:framePr w:w="1930" w:x="6532" w:y="95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1,703,781,974.56</w:t>
      </w:r>
    </w:p>
    <w:p>
      <w:pPr>
        <w:framePr w:w="1930" w:x="6532" w:y="9584"/>
        <w:widowControl w:val="0"/>
        <w:autoSpaceDE w:val="0"/>
        <w:autoSpaceDN w:val="0"/>
        <w:spacing w:before="34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2,335,002,206.40</w:t>
      </w:r>
    </w:p>
    <w:p>
      <w:pPr>
        <w:framePr w:w="1930" w:x="8940" w:y="95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1,557,176,380.70</w:t>
      </w:r>
    </w:p>
    <w:p>
      <w:pPr>
        <w:framePr w:w="1930" w:x="8940" w:y="9584"/>
        <w:widowControl w:val="0"/>
        <w:autoSpaceDE w:val="0"/>
        <w:autoSpaceDN w:val="0"/>
        <w:spacing w:before="34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2,304,145,473.28</w:t>
      </w:r>
    </w:p>
    <w:p>
      <w:pPr>
        <w:framePr w:w="2972" w:x="1798" w:y="10143"/>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负债和所有者权益（或</w:t>
      </w:r>
    </w:p>
    <w:p>
      <w:pPr>
        <w:framePr w:w="2972" w:x="1798" w:y="1014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股东权益）总计</w:t>
      </w:r>
    </w:p>
    <w:p>
      <w:pPr>
        <w:framePr w:w="2141" w:x="1798" w:y="109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635" w:y="109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8416" w:y="109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930" w:x="5370" w:y="118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母公司资产负债表</w:t>
      </w:r>
    </w:p>
    <w:p>
      <w:pPr>
        <w:framePr w:w="1976" w:x="5348" w:y="121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w:t>
      </w:r>
    </w:p>
    <w:p>
      <w:pPr>
        <w:framePr w:w="3725" w:x="1798" w:y="12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编制单位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山东先达农化股份有限公司</w:t>
      </w:r>
    </w:p>
    <w:p>
      <w:pPr>
        <w:framePr w:w="2343" w:x="8531" w:y="127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343" w:x="8531" w:y="12731"/>
        <w:widowControl w:val="0"/>
        <w:autoSpaceDE w:val="0"/>
        <w:autoSpaceDN w:val="0"/>
        <w:spacing w:before="74" w:line="211" w:lineRule="exact"/>
        <w:ind w:left="1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p>
    <w:p>
      <w:pPr>
        <w:framePr w:w="2701" w:x="2950" w:y="13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15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附注</w:t>
      </w:r>
    </w:p>
    <w:p>
      <w:pPr>
        <w:framePr w:w="1983" w:x="6171" w:y="13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p>
    <w:p>
      <w:pPr>
        <w:framePr w:w="1296" w:x="1798" w:y="13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流动资产：</w:t>
      </w:r>
    </w:p>
    <w:p>
      <w:pPr>
        <w:framePr w:w="1296" w:x="1798" w:y="13304"/>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718" w:x="6741" w:y="1359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190,060,297.59</w:t>
      </w:r>
    </w:p>
    <w:p>
      <w:pPr>
        <w:framePr w:w="1718" w:x="6741" w:y="13592"/>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44,085,905.50</w:t>
      </w:r>
    </w:p>
    <w:p>
      <w:pPr>
        <w:framePr w:w="1718" w:x="9148" w:y="1359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301,620,107.59</w:t>
      </w:r>
    </w:p>
    <w:p>
      <w:pPr>
        <w:framePr w:w="1718" w:x="9148" w:y="13592"/>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55,700,000.00</w:t>
      </w:r>
    </w:p>
    <w:p>
      <w:pPr>
        <w:framePr w:w="1718" w:x="2009" w:y="13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718" w:x="2009" w:y="1387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718" w:x="2009" w:y="1387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718" w:x="9148" w:y="14454"/>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w:t>
      </w:r>
    </w:p>
    <w:p>
      <w:pPr>
        <w:framePr w:w="1718" w:x="9148" w:y="14454"/>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186,562,689.47</w:t>
      </w:r>
    </w:p>
    <w:p>
      <w:pPr>
        <w:framePr w:w="1718" w:x="9148" w:y="14454"/>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43,532,653.90</w:t>
      </w:r>
    </w:p>
    <w:p>
      <w:pPr>
        <w:framePr w:w="1085" w:x="2009" w:y="14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979" w:x="4741" w:y="147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十七、</w:t>
      </w:r>
      <w:r>
        <w:rPr>
          <w:rFonts w:ascii="SimSun" w:eastAsiaTheme="minorEastAsia" w:hAnsiTheme="minorHAnsi" w:cstheme="minorBidi"/>
          <w:color w:val="000000"/>
          <w:sz w:val="21"/>
          <w:szCs w:val="22"/>
          <w:lang w:val="en-US" w:eastAsia="en-US" w:bidi="ar-SA"/>
        </w:rPr>
        <w:t>1</w:t>
      </w:r>
    </w:p>
    <w:p>
      <w:pPr>
        <w:framePr w:w="1718" w:x="6741" w:y="147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165,111,612.60</w:t>
      </w:r>
    </w:p>
    <w:p>
      <w:pPr>
        <w:framePr w:w="1718" w:x="6741" w:y="14742"/>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37,708,694.00</w:t>
      </w:r>
    </w:p>
    <w:p>
      <w:pPr>
        <w:framePr w:w="1507" w:x="2009" w:y="150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85" type="#_x0000_t75" style="width:445.6pt;height:2.7pt;margin-top:53.65pt;margin-left:87.45pt;mso-position-horizontal-relative:page;mso-position-vertical-relative:page;position:absolute;z-index:-251291648">
            <v:imagedata r:id="rId138" o:title=""/>
          </v:shape>
        </w:pict>
      </w:r>
      <w:r>
        <w:rPr>
          <w:noProof/>
        </w:rPr>
        <w:pict>
          <v:shape id="_x0000_s1186" type="#_x0000_t75" style="width:454.7pt;height:460.35pt;margin-top:74.3pt;margin-left:83.15pt;mso-position-horizontal-relative:page;mso-position-vertical-relative:page;position:absolute;z-index:-251413504">
            <v:imagedata r:id="rId139" o:title=""/>
          </v:shape>
        </w:pict>
      </w:r>
      <w:r>
        <w:rPr>
          <w:noProof/>
        </w:rPr>
        <w:pict>
          <v:shape id="_x0000_s1187" type="#_x0000_t75" style="width:454.7pt;height:117.7pt;margin-top:647.6pt;margin-left:83.15pt;mso-position-horizontal-relative:page;mso-position-vertical-relative:page;position:absolute;z-index:-251591680">
            <v:imagedata r:id="rId140" o:title=""/>
          </v:shape>
        </w:pict>
      </w:r>
    </w:p>
    <w:p>
      <w:pPr>
        <w:spacing w:line="0" w:lineRule="atLeast"/>
        <w:rPr>
          <w:rFonts w:ascii="Arial" w:eastAsiaTheme="minorEastAsia" w:hAnsiTheme="minorHAnsi" w:cstheme="minorBidi"/>
          <w:color w:val="FF0000"/>
          <w:sz w:val="2"/>
          <w:szCs w:val="22"/>
          <w:lang w:val="en-US" w:eastAsia="en-US" w:bidi="ar-SA"/>
        </w:rPr>
      </w:pPr>
      <w:bookmarkStart w:id="66" w:name="br1_65"/>
      <w:bookmarkEnd w:id="6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718" w:x="2009" w:y="15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718" w:x="2009" w:y="1552"/>
        <w:widowControl w:val="0"/>
        <w:autoSpaceDE w:val="0"/>
        <w:autoSpaceDN w:val="0"/>
        <w:spacing w:before="7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718" w:x="2009" w:y="155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其中：应收利息</w:t>
      </w:r>
    </w:p>
    <w:p>
      <w:pPr>
        <w:framePr w:w="1718" w:x="2009" w:y="1552"/>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1613" w:x="6846" w:y="15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91,066,982.41</w:t>
      </w:r>
    </w:p>
    <w:p>
      <w:pPr>
        <w:framePr w:w="1718" w:x="9148" w:y="15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138,947,809.00</w:t>
      </w:r>
    </w:p>
    <w:p>
      <w:pPr>
        <w:framePr w:w="1718" w:x="9148" w:y="1552"/>
        <w:widowControl w:val="0"/>
        <w:autoSpaceDE w:val="0"/>
        <w:autoSpaceDN w:val="0"/>
        <w:spacing w:before="75"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979" w:x="4741"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十七、</w:t>
      </w:r>
      <w:r>
        <w:rPr>
          <w:rFonts w:ascii="SimSun" w:eastAsiaTheme="minorEastAsia" w:hAnsiTheme="minorHAnsi" w:cstheme="minorBidi"/>
          <w:color w:val="000000"/>
          <w:sz w:val="21"/>
          <w:szCs w:val="22"/>
          <w:lang w:val="en-US" w:eastAsia="en-US" w:bidi="ar-SA"/>
        </w:rPr>
        <w:t>2</w:t>
      </w:r>
    </w:p>
    <w:p>
      <w:pPr>
        <w:framePr w:w="1718" w:x="6741"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391,135,215.83</w:t>
      </w:r>
    </w:p>
    <w:p>
      <w:pPr>
        <w:framePr w:w="662" w:x="2009" w:y="2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1718" w:x="6741" w:y="27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196,097,268.77</w:t>
      </w:r>
    </w:p>
    <w:p>
      <w:pPr>
        <w:framePr w:w="1718" w:x="9148" w:y="27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162,745,047.66</w:t>
      </w:r>
    </w:p>
    <w:p>
      <w:pPr>
        <w:framePr w:w="1085" w:x="2009" w:y="2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2765" w:x="1798" w:y="3276"/>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持有待售资产</w:t>
      </w:r>
    </w:p>
    <w:p>
      <w:pPr>
        <w:framePr w:w="2765" w:x="1798" w:y="3276"/>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w:t>
      </w:r>
    </w:p>
    <w:p>
      <w:pPr>
        <w:framePr w:w="2765" w:x="1798" w:y="3276"/>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其他流动资产</w:t>
      </w:r>
    </w:p>
    <w:p>
      <w:pPr>
        <w:framePr w:w="2765" w:x="1798" w:y="3276"/>
        <w:widowControl w:val="0"/>
        <w:autoSpaceDE w:val="0"/>
        <w:autoSpaceDN w:val="0"/>
        <w:spacing w:before="7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流动资产合计</w:t>
      </w:r>
    </w:p>
    <w:p>
      <w:pPr>
        <w:framePr w:w="2765" w:x="1798" w:y="327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非流动资产：</w:t>
      </w:r>
    </w:p>
    <w:p>
      <w:pPr>
        <w:framePr w:w="2765" w:x="1798" w:y="3276"/>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w:t>
      </w:r>
    </w:p>
    <w:p>
      <w:pPr>
        <w:framePr w:w="1613" w:x="6846" w:y="38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20,136,992.17</w:t>
      </w:r>
    </w:p>
    <w:p>
      <w:pPr>
        <w:framePr w:w="1507" w:x="9360" w:y="38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4,401,283.22</w:t>
      </w:r>
    </w:p>
    <w:p>
      <w:pPr>
        <w:framePr w:w="1930" w:x="6532" w:y="41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1,135,402,968.87</w:t>
      </w:r>
    </w:p>
    <w:p>
      <w:pPr>
        <w:framePr w:w="1930" w:x="8940" w:y="41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1,076,508,666.04</w:t>
      </w:r>
    </w:p>
    <w:p>
      <w:pPr>
        <w:framePr w:w="2141" w:x="2009" w:y="49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w:t>
      </w:r>
    </w:p>
    <w:p>
      <w:pPr>
        <w:framePr w:w="2141" w:x="2009" w:y="49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长期应收款</w:t>
      </w:r>
    </w:p>
    <w:p>
      <w:pPr>
        <w:framePr w:w="2141" w:x="2009" w:y="49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w:t>
      </w:r>
    </w:p>
    <w:p>
      <w:pPr>
        <w:framePr w:w="2141" w:x="2009" w:y="49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w:t>
      </w:r>
    </w:p>
    <w:p>
      <w:pPr>
        <w:framePr w:w="2141" w:x="2009" w:y="4999"/>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其他非流动金融资产</w:t>
      </w:r>
    </w:p>
    <w:p>
      <w:pPr>
        <w:framePr w:w="2141" w:x="2009" w:y="49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w:t>
      </w:r>
    </w:p>
    <w:p>
      <w:pPr>
        <w:framePr w:w="2141" w:x="2009" w:y="49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979" w:x="4741" w:y="55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十七、</w:t>
      </w:r>
      <w:r>
        <w:rPr>
          <w:rFonts w:ascii="SimSun" w:eastAsiaTheme="minorEastAsia" w:hAnsiTheme="minorHAnsi" w:cstheme="minorBidi"/>
          <w:color w:val="000000"/>
          <w:sz w:val="21"/>
          <w:szCs w:val="22"/>
          <w:lang w:val="en-US" w:eastAsia="en-US" w:bidi="ar-SA"/>
        </w:rPr>
        <w:t>3</w:t>
      </w:r>
    </w:p>
    <w:p>
      <w:pPr>
        <w:framePr w:w="1718" w:x="6741" w:y="55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9148" w:y="55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613" w:x="6846" w:y="67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36,588,072.25</w:t>
      </w:r>
    </w:p>
    <w:p>
      <w:pPr>
        <w:framePr w:w="1613" w:x="6846" w:y="6725"/>
        <w:widowControl w:val="0"/>
        <w:autoSpaceDE w:val="0"/>
        <w:autoSpaceDN w:val="0"/>
        <w:spacing w:before="74"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488,393.96</w:t>
      </w:r>
    </w:p>
    <w:p>
      <w:pPr>
        <w:framePr w:w="1613" w:x="9254" w:y="67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36,073,715.34</w:t>
      </w:r>
    </w:p>
    <w:p>
      <w:pPr>
        <w:framePr w:w="1613" w:x="9254" w:y="6725"/>
        <w:widowControl w:val="0"/>
        <w:autoSpaceDE w:val="0"/>
        <w:autoSpaceDN w:val="0"/>
        <w:spacing w:before="74"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121,061.32</w:t>
      </w:r>
    </w:p>
    <w:p>
      <w:pPr>
        <w:framePr w:w="1085" w:x="2009" w:y="70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718" w:x="2009" w:y="72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生产性生物资产</w:t>
      </w:r>
    </w:p>
    <w:p>
      <w:pPr>
        <w:framePr w:w="1718" w:x="2009" w:y="72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油气资产</w:t>
      </w:r>
    </w:p>
    <w:p>
      <w:pPr>
        <w:framePr w:w="1296" w:x="2009" w:y="7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使用权资产</w:t>
      </w:r>
    </w:p>
    <w:p>
      <w:pPr>
        <w:framePr w:w="1296" w:x="2009" w:y="7875"/>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1507" w:x="6952" w:y="81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2,649,727.63</w:t>
      </w:r>
    </w:p>
    <w:p>
      <w:pPr>
        <w:framePr w:w="1507" w:x="9360" w:y="81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2,838,406.99</w:t>
      </w:r>
    </w:p>
    <w:p>
      <w:pPr>
        <w:framePr w:w="1085" w:x="2009" w:y="8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开发支出</w:t>
      </w:r>
    </w:p>
    <w:p>
      <w:pPr>
        <w:framePr w:w="662" w:x="2009" w:y="87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商誉</w:t>
      </w:r>
    </w:p>
    <w:p>
      <w:pPr>
        <w:framePr w:w="1923" w:x="2009" w:y="9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w:t>
      </w:r>
    </w:p>
    <w:p>
      <w:pPr>
        <w:framePr w:w="1923" w:x="2009" w:y="9025"/>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w:t>
      </w:r>
    </w:p>
    <w:p>
      <w:pPr>
        <w:framePr w:w="1923" w:x="2009" w:y="902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其他非流动资产</w:t>
      </w:r>
    </w:p>
    <w:p>
      <w:pPr>
        <w:framePr w:w="1923" w:x="2009" w:y="9025"/>
        <w:widowControl w:val="0"/>
        <w:autoSpaceDE w:val="0"/>
        <w:autoSpaceDN w:val="0"/>
        <w:spacing w:before="77"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非流动资产合计</w:t>
      </w:r>
    </w:p>
    <w:p>
      <w:pPr>
        <w:framePr w:w="1923" w:x="2009" w:y="9025"/>
        <w:widowControl w:val="0"/>
        <w:autoSpaceDE w:val="0"/>
        <w:autoSpaceDN w:val="0"/>
        <w:spacing w:before="74"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资产总计</w:t>
      </w:r>
    </w:p>
    <w:p>
      <w:pPr>
        <w:framePr w:w="1507" w:x="6952" w:y="9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3,173,074.79</w:t>
      </w:r>
    </w:p>
    <w:p>
      <w:pPr>
        <w:framePr w:w="1507" w:x="6952" w:y="9310"/>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2,508,006.50</w:t>
      </w:r>
    </w:p>
    <w:p>
      <w:pPr>
        <w:framePr w:w="1507" w:x="9360" w:y="93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4,491,824.02</w:t>
      </w:r>
    </w:p>
    <w:p>
      <w:pPr>
        <w:framePr w:w="1507" w:x="9360" w:y="9310"/>
        <w:widowControl w:val="0"/>
        <w:autoSpaceDE w:val="0"/>
        <w:autoSpaceDN w:val="0"/>
        <w:spacing w:before="77"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222,495.12</w:t>
      </w:r>
    </w:p>
    <w:p>
      <w:pPr>
        <w:framePr w:w="1930" w:x="6532" w:y="9886"/>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502,273,446.46</w:t>
      </w:r>
    </w:p>
    <w:p>
      <w:pPr>
        <w:framePr w:w="1930" w:x="6532" w:y="9886"/>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1,637,676,415.33</w:t>
      </w:r>
    </w:p>
    <w:p>
      <w:pPr>
        <w:framePr w:w="1930" w:x="8940" w:y="9886"/>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500,613,674.12</w:t>
      </w:r>
    </w:p>
    <w:p>
      <w:pPr>
        <w:framePr w:w="1930" w:x="8940" w:y="9886"/>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1,577,122,340.16</w:t>
      </w:r>
    </w:p>
    <w:p>
      <w:pPr>
        <w:framePr w:w="1296" w:x="1798" w:y="104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流动负债：</w:t>
      </w:r>
    </w:p>
    <w:p>
      <w:pPr>
        <w:framePr w:w="1296" w:x="1798" w:y="10460"/>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w:t>
      </w:r>
    </w:p>
    <w:p>
      <w:pPr>
        <w:framePr w:w="1718" w:x="2009" w:y="11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718" w:x="2009" w:y="11036"/>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718" w:x="2009" w:y="1103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1190" w:x="7266" w:y="1103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1507" w:x="9360" w:y="1103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718" w:x="6741" w:y="116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150,000,000.00</w:t>
      </w:r>
    </w:p>
    <w:p>
      <w:pPr>
        <w:framePr w:w="1718" w:x="6741" w:y="11609"/>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59,725,089.87</w:t>
      </w:r>
    </w:p>
    <w:p>
      <w:pPr>
        <w:framePr w:w="1718" w:x="9148" w:y="116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130,000,000.00</w:t>
      </w:r>
    </w:p>
    <w:p>
      <w:pPr>
        <w:framePr w:w="1718" w:x="9148" w:y="11609"/>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38,659,641.44</w:t>
      </w:r>
    </w:p>
    <w:p>
      <w:pPr>
        <w:framePr w:w="1718" w:x="9148" w:y="11609"/>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35,812,891.19</w:t>
      </w:r>
    </w:p>
    <w:p>
      <w:pPr>
        <w:framePr w:w="1085" w:x="2009" w:y="118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1085" w:x="2009" w:y="121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预收款项</w:t>
      </w:r>
    </w:p>
    <w:p>
      <w:pPr>
        <w:framePr w:w="1085" w:x="2009" w:y="124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w:t>
      </w:r>
    </w:p>
    <w:p>
      <w:pPr>
        <w:framePr w:w="1613" w:x="6846" w:y="12472"/>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7,400,871.12</w:t>
      </w:r>
    </w:p>
    <w:p>
      <w:pPr>
        <w:framePr w:w="1613" w:x="6846" w:y="12472"/>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15,461,285.49</w:t>
      </w:r>
    </w:p>
    <w:p>
      <w:pPr>
        <w:framePr w:w="1613" w:x="6846" w:y="12472"/>
        <w:widowControl w:val="0"/>
        <w:autoSpaceDE w:val="0"/>
        <w:autoSpaceDN w:val="0"/>
        <w:spacing w:before="77"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261,440.25</w:t>
      </w:r>
    </w:p>
    <w:p>
      <w:pPr>
        <w:framePr w:w="1507" w:x="2009" w:y="127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应付职工薪酬</w:t>
      </w:r>
    </w:p>
    <w:p>
      <w:pPr>
        <w:framePr w:w="1507" w:x="2009" w:y="12760"/>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1613" w:x="9254" w:y="127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12,887,462.16</w:t>
      </w:r>
    </w:p>
    <w:p>
      <w:pPr>
        <w:framePr w:w="1613" w:x="9254" w:y="12760"/>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1,698,987.96</w:t>
      </w:r>
    </w:p>
    <w:p>
      <w:pPr>
        <w:framePr w:w="1613" w:x="9254" w:y="12760"/>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3,510,724.59</w:t>
      </w:r>
    </w:p>
    <w:p>
      <w:pPr>
        <w:framePr w:w="1718" w:x="2009" w:y="133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718" w:x="2009" w:y="1333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其中：应付利息</w:t>
      </w:r>
    </w:p>
    <w:p>
      <w:pPr>
        <w:framePr w:w="1718" w:x="2009" w:y="13333"/>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1613" w:x="6846" w:y="1333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14,880,324.98</w:t>
      </w:r>
    </w:p>
    <w:p>
      <w:pPr>
        <w:framePr w:w="2563" w:x="2009" w:y="141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持有待售负债</w:t>
      </w:r>
    </w:p>
    <w:p>
      <w:pPr>
        <w:framePr w:w="2563" w:x="2009" w:y="14197"/>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一年内到期的非流动负债</w:t>
      </w:r>
    </w:p>
    <w:p>
      <w:pPr>
        <w:framePr w:w="2563" w:x="2009" w:y="1419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w:t>
      </w:r>
    </w:p>
    <w:p>
      <w:pPr>
        <w:framePr w:w="2563" w:x="2009" w:y="14197"/>
        <w:widowControl w:val="0"/>
        <w:autoSpaceDE w:val="0"/>
        <w:autoSpaceDN w:val="0"/>
        <w:spacing w:before="77"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流动负债合计</w:t>
      </w:r>
    </w:p>
    <w:p>
      <w:pPr>
        <w:framePr w:w="1296" w:x="7161" w:y="147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962,113.24</w:t>
      </w:r>
    </w:p>
    <w:p>
      <w:pPr>
        <w:framePr w:w="1718" w:x="6741" w:y="150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248,756,920.45</w:t>
      </w:r>
    </w:p>
    <w:p>
      <w:pPr>
        <w:framePr w:w="1718" w:x="9148" w:y="150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225,866,977.94</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88" type="#_x0000_t75" style="width:445.6pt;height:2.7pt;margin-top:53.65pt;margin-left:87.45pt;mso-position-horizontal-relative:page;mso-position-vertical-relative:page;position:absolute;z-index:-251412480">
            <v:imagedata r:id="rId136" o:title=""/>
          </v:shape>
        </w:pict>
      </w:r>
      <w:r>
        <w:rPr>
          <w:noProof/>
        </w:rPr>
        <w:pict>
          <v:shape id="_x0000_s1189" type="#_x0000_t75" style="width:454.7pt;height:692.6pt;margin-top:74.3pt;margin-left:83.15pt;mso-position-horizontal-relative:page;mso-position-vertical-relative:page;position:absolute;z-index:-251590656">
            <v:imagedata r:id="rId137" o:title=""/>
          </v:shape>
        </w:pict>
      </w:r>
    </w:p>
    <w:p>
      <w:pPr>
        <w:spacing w:line="0" w:lineRule="atLeast"/>
        <w:rPr>
          <w:rFonts w:ascii="Arial" w:eastAsiaTheme="minorEastAsia" w:hAnsiTheme="minorHAnsi" w:cstheme="minorBidi"/>
          <w:color w:val="FF0000"/>
          <w:sz w:val="2"/>
          <w:szCs w:val="22"/>
          <w:lang w:val="en-US" w:eastAsia="en-US" w:bidi="ar-SA"/>
        </w:rPr>
      </w:pPr>
      <w:bookmarkStart w:id="67" w:name="br1_66"/>
      <w:bookmarkEnd w:id="6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07" w:x="1798" w:y="15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非流动负债：</w:t>
      </w:r>
    </w:p>
    <w:p>
      <w:pPr>
        <w:framePr w:w="1507" w:x="1798" w:y="1552"/>
        <w:widowControl w:val="0"/>
        <w:autoSpaceDE w:val="0"/>
        <w:autoSpaceDN w:val="0"/>
        <w:spacing w:before="75"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1085" w:x="2009" w:y="21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应付债券</w:t>
      </w:r>
    </w:p>
    <w:p>
      <w:pPr>
        <w:framePr w:w="1507" w:x="2009" w:y="2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1507" w:x="2009" w:y="2414"/>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085" w:x="2009" w:y="2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租赁负债</w:t>
      </w:r>
    </w:p>
    <w:p>
      <w:pPr>
        <w:framePr w:w="1296" w:x="2009" w:y="32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1930" w:x="2009" w:y="3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长期应付职工薪酬</w:t>
      </w:r>
    </w:p>
    <w:p>
      <w:pPr>
        <w:framePr w:w="1930" w:x="2009" w:y="3564"/>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1296" w:x="7161" w:y="38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342,866.19</w:t>
      </w:r>
    </w:p>
    <w:p>
      <w:pPr>
        <w:framePr w:w="1296" w:x="7161" w:y="384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163,879.70</w:t>
      </w:r>
    </w:p>
    <w:p>
      <w:pPr>
        <w:framePr w:w="1296" w:x="7161" w:y="384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636,929.61</w:t>
      </w:r>
    </w:p>
    <w:p>
      <w:pPr>
        <w:framePr w:w="1296" w:x="9568" w:y="38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511,059.01</w:t>
      </w:r>
    </w:p>
    <w:p>
      <w:pPr>
        <w:framePr w:w="1296" w:x="9568" w:y="384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569,030.11</w:t>
      </w:r>
    </w:p>
    <w:p>
      <w:pPr>
        <w:framePr w:w="1296" w:x="9568" w:y="3849"/>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87,635.82</w:t>
      </w:r>
    </w:p>
    <w:p>
      <w:pPr>
        <w:framePr w:w="1085" w:x="2009" w:y="4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923" w:x="2009" w:y="4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923" w:x="2009" w:y="442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其他非流动负债</w:t>
      </w:r>
    </w:p>
    <w:p>
      <w:pPr>
        <w:framePr w:w="1923" w:x="2009" w:y="4425"/>
        <w:widowControl w:val="0"/>
        <w:autoSpaceDE w:val="0"/>
        <w:autoSpaceDN w:val="0"/>
        <w:spacing w:before="74"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非流动负债合计</w:t>
      </w:r>
    </w:p>
    <w:p>
      <w:pPr>
        <w:framePr w:w="1923" w:x="2009" w:y="4425"/>
        <w:widowControl w:val="0"/>
        <w:autoSpaceDE w:val="0"/>
        <w:autoSpaceDN w:val="0"/>
        <w:spacing w:before="7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负债合计</w:t>
      </w:r>
    </w:p>
    <w:p>
      <w:pPr>
        <w:framePr w:w="1507" w:x="6952" w:y="49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1,143,675.50</w:t>
      </w:r>
    </w:p>
    <w:p>
      <w:pPr>
        <w:framePr w:w="1507" w:x="9360" w:y="49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1,167,724.94</w:t>
      </w:r>
    </w:p>
    <w:p>
      <w:pPr>
        <w:framePr w:w="1718" w:x="6741" w:y="52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249,900,595.95</w:t>
      </w:r>
    </w:p>
    <w:p>
      <w:pPr>
        <w:framePr w:w="1718" w:x="9148" w:y="52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227,034,702.88</w:t>
      </w:r>
    </w:p>
    <w:p>
      <w:pPr>
        <w:framePr w:w="2986" w:x="1798" w:y="55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所有者权益（或股东权益）：</w:t>
      </w:r>
    </w:p>
    <w:p>
      <w:pPr>
        <w:framePr w:w="2986" w:x="1798" w:y="5575"/>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实收资本（或股本）</w:t>
      </w:r>
    </w:p>
    <w:p>
      <w:pPr>
        <w:framePr w:w="2986" w:x="1798" w:y="5575"/>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w:t>
      </w:r>
    </w:p>
    <w:p>
      <w:pPr>
        <w:framePr w:w="2986" w:x="1798" w:y="5575"/>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2986" w:x="1798" w:y="5575"/>
        <w:widowControl w:val="0"/>
        <w:autoSpaceDE w:val="0"/>
        <w:autoSpaceDN w:val="0"/>
        <w:spacing w:before="77" w:line="211" w:lineRule="exact"/>
        <w:ind w:left="8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718" w:x="6741" w:y="58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158,490,000.00</w:t>
      </w:r>
    </w:p>
    <w:p>
      <w:pPr>
        <w:framePr w:w="1718" w:x="9148" w:y="58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718" w:x="9148" w:y="5863"/>
        <w:widowControl w:val="0"/>
        <w:autoSpaceDE w:val="0"/>
        <w:autoSpaceDN w:val="0"/>
        <w:spacing w:before="93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448,515,471.88</w:t>
      </w:r>
    </w:p>
    <w:p>
      <w:pPr>
        <w:framePr w:w="1085" w:x="2009" w:y="70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资本公积</w:t>
      </w:r>
    </w:p>
    <w:p>
      <w:pPr>
        <w:framePr w:w="1718" w:x="6741" w:y="70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419,037,671.88</w:t>
      </w:r>
    </w:p>
    <w:p>
      <w:pPr>
        <w:framePr w:w="1718" w:x="6741" w:y="7011"/>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1296" w:x="2009" w:y="72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减：库存股</w:t>
      </w:r>
    </w:p>
    <w:p>
      <w:pPr>
        <w:framePr w:w="1507" w:x="2009" w:y="75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w:t>
      </w:r>
    </w:p>
    <w:p>
      <w:pPr>
        <w:framePr w:w="1507" w:x="2009" w:y="758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1613" w:x="6846" w:y="78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33,565,542.37</w:t>
      </w:r>
    </w:p>
    <w:p>
      <w:pPr>
        <w:framePr w:w="1613" w:x="6846" w:y="7875"/>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62,534,040.33</w:t>
      </w:r>
    </w:p>
    <w:p>
      <w:pPr>
        <w:framePr w:w="1613" w:x="9254" w:y="78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31,262,063.52</w:t>
      </w:r>
    </w:p>
    <w:p>
      <w:pPr>
        <w:framePr w:w="1613" w:x="9254" w:y="7875"/>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56,000,000.00</w:t>
      </w:r>
    </w:p>
    <w:p>
      <w:pPr>
        <w:framePr w:w="1085" w:x="2009" w:y="8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w:t>
      </w:r>
    </w:p>
    <w:p>
      <w:pPr>
        <w:framePr w:w="1296" w:x="2009" w:y="8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未分配利润</w:t>
      </w:r>
    </w:p>
    <w:p>
      <w:pPr>
        <w:framePr w:w="1930" w:x="6532" w:y="8448"/>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727,516,464.80</w:t>
      </w:r>
    </w:p>
    <w:p>
      <w:pPr>
        <w:framePr w:w="1930" w:x="6532" w:y="844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1,387,775,819.38</w:t>
      </w:r>
    </w:p>
    <w:p>
      <w:pPr>
        <w:framePr w:w="1930" w:x="8940" w:y="8448"/>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702,310,101.88</w:t>
      </w:r>
    </w:p>
    <w:p>
      <w:pPr>
        <w:framePr w:w="1930" w:x="8940" w:y="844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1,350,087,637.28</w:t>
      </w:r>
    </w:p>
    <w:p>
      <w:pPr>
        <w:framePr w:w="2763" w:x="1798" w:y="873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所有者权益（或股东权</w:t>
      </w:r>
    </w:p>
    <w:p>
      <w:pPr>
        <w:framePr w:w="2763" w:x="1798" w:y="873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益）合计</w:t>
      </w:r>
    </w:p>
    <w:p>
      <w:pPr>
        <w:framePr w:w="2972" w:x="1798" w:y="9296"/>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负债和所有者权益（或</w:t>
      </w:r>
    </w:p>
    <w:p>
      <w:pPr>
        <w:framePr w:w="2972" w:x="1798" w:y="929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股东权益）总计</w:t>
      </w:r>
    </w:p>
    <w:p>
      <w:pPr>
        <w:framePr w:w="2972" w:x="1798" w:y="9296"/>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1930" w:x="6532" w:y="92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1,637,676,415.33</w:t>
      </w:r>
    </w:p>
    <w:p>
      <w:pPr>
        <w:framePr w:w="1930" w:x="8940" w:y="92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1,577,122,340.16</w:t>
      </w:r>
    </w:p>
    <w:p>
      <w:pPr>
        <w:framePr w:w="2986" w:x="4424" w:y="98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7996" w:y="98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296" w:x="5687" w:y="107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合并利润表</w:t>
      </w:r>
    </w:p>
    <w:p>
      <w:pPr>
        <w:framePr w:w="1764" w:x="5454" w:y="110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p>
    <w:p>
      <w:pPr>
        <w:framePr w:w="2343" w:x="8531" w:y="113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076" w:x="1798" w:y="11619"/>
        <w:widowControl w:val="0"/>
        <w:autoSpaceDE w:val="0"/>
        <w:autoSpaceDN w:val="0"/>
        <w:spacing w:line="211" w:lineRule="exact"/>
        <w:ind w:left="141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076" w:x="1798" w:y="116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一、营业总收入</w:t>
      </w:r>
    </w:p>
    <w:p>
      <w:pPr>
        <w:framePr w:w="2076" w:x="1798" w:y="116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其中：营业收入</w:t>
      </w:r>
    </w:p>
    <w:p>
      <w:pPr>
        <w:framePr w:w="2076" w:x="1798" w:y="11619"/>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662" w:x="5744" w:y="116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附注</w:t>
      </w:r>
    </w:p>
    <w:p>
      <w:pPr>
        <w:framePr w:w="1138" w:x="7269" w:y="116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年度</w:t>
      </w:r>
    </w:p>
    <w:p>
      <w:pPr>
        <w:framePr w:w="1138" w:x="9283" w:y="116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1"/>
          <w:sz w:val="21"/>
          <w:szCs w:val="22"/>
          <w:lang w:val="en-US" w:eastAsia="en-US" w:bidi="ar-SA"/>
        </w:rPr>
        <w:t>年度</w:t>
      </w:r>
    </w:p>
    <w:p>
      <w:pPr>
        <w:framePr w:w="874" w:x="5305" w:y="119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59</w:t>
      </w:r>
    </w:p>
    <w:p>
      <w:pPr>
        <w:framePr w:w="3939" w:x="6935" w:y="119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1,895,595,666.25</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1,574,570,054.14</w:t>
      </w:r>
    </w:p>
    <w:p>
      <w:pPr>
        <w:framePr w:w="3939" w:x="6935" w:y="1190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1,895,595,666.25</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1,574,570,054.14</w:t>
      </w:r>
    </w:p>
    <w:p>
      <w:pPr>
        <w:framePr w:w="1085" w:x="2429" w:y="127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已赚保费</w:t>
      </w:r>
    </w:p>
    <w:p>
      <w:pPr>
        <w:framePr w:w="2554" w:x="1798" w:y="13031"/>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手续费及佣金收入</w:t>
      </w:r>
    </w:p>
    <w:p>
      <w:pPr>
        <w:framePr w:w="2554" w:x="1798" w:y="1303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二、营业总成本</w:t>
      </w:r>
    </w:p>
    <w:p>
      <w:pPr>
        <w:framePr w:w="2554" w:x="1798" w:y="1303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其中：营业成本</w:t>
      </w:r>
    </w:p>
    <w:p>
      <w:pPr>
        <w:framePr w:w="2554" w:x="1798" w:y="13031"/>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利息支出</w:t>
      </w:r>
    </w:p>
    <w:p>
      <w:pPr>
        <w:framePr w:w="874" w:x="5305" w:y="133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59</w:t>
      </w:r>
    </w:p>
    <w:p>
      <w:pPr>
        <w:framePr w:w="3939" w:x="6935" w:y="133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1,692,750,343.69</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1,318,377,415.54</w:t>
      </w:r>
    </w:p>
    <w:p>
      <w:pPr>
        <w:framePr w:w="3939" w:x="6935" w:y="1331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1,368,289,383.96</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1,019,742,537.63</w:t>
      </w:r>
    </w:p>
    <w:p>
      <w:pPr>
        <w:framePr w:w="1930" w:x="2429" w:y="141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手续费及佣金支出</w:t>
      </w:r>
    </w:p>
    <w:p>
      <w:pPr>
        <w:framePr w:w="1930" w:x="2429" w:y="141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退保金</w:t>
      </w:r>
    </w:p>
    <w:p>
      <w:pPr>
        <w:framePr w:w="2563" w:x="2429" w:y="147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赔付支出净额</w:t>
      </w:r>
    </w:p>
    <w:p>
      <w:pPr>
        <w:framePr w:w="2563" w:x="2429" w:y="1472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提取保险责任准备金净额</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90" type="#_x0000_t75" style="width:445.6pt;height:2.7pt;margin-top:53.65pt;margin-left:87.45pt;mso-position-horizontal-relative:page;mso-position-vertical-relative:page;position:absolute;z-index:-251290624">
            <v:imagedata r:id="rId141" o:title=""/>
          </v:shape>
        </w:pict>
      </w:r>
      <w:r>
        <w:rPr>
          <w:noProof/>
        </w:rPr>
        <w:pict>
          <v:shape id="_x0000_s1191" type="#_x0000_t75" style="width:454.7pt;height:418pt;margin-top:74.3pt;margin-left:83.15pt;mso-position-horizontal-relative:page;mso-position-vertical-relative:page;position:absolute;z-index:-251411456">
            <v:imagedata r:id="rId142" o:title=""/>
          </v:shape>
        </w:pict>
      </w:r>
      <w:r>
        <w:rPr>
          <w:noProof/>
        </w:rPr>
        <w:pict>
          <v:shape id="_x0000_s1192" type="#_x0000_t75" style="width:454.95pt;height:186.1pt;margin-top:578pt;margin-left:83.25pt;mso-position-horizontal-relative:page;mso-position-vertical-relative:page;position:absolute;z-index:-251589632">
            <v:imagedata r:id="rId143" o:title=""/>
          </v:shape>
        </w:pict>
      </w:r>
    </w:p>
    <w:p>
      <w:pPr>
        <w:spacing w:line="0" w:lineRule="atLeast"/>
        <w:rPr>
          <w:rFonts w:ascii="Arial" w:eastAsiaTheme="minorEastAsia" w:hAnsiTheme="minorHAnsi" w:cstheme="minorBidi"/>
          <w:color w:val="FF0000"/>
          <w:sz w:val="2"/>
          <w:szCs w:val="22"/>
          <w:lang w:val="en-US" w:eastAsia="en-US" w:bidi="ar-SA"/>
        </w:rPr>
      </w:pPr>
      <w:bookmarkStart w:id="68" w:name="br1_67"/>
      <w:bookmarkEnd w:id="6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07" w:x="242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保单红利支出</w:t>
      </w:r>
    </w:p>
    <w:p>
      <w:pPr>
        <w:framePr w:w="1507" w:x="242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分保费用</w:t>
      </w:r>
    </w:p>
    <w:p>
      <w:pPr>
        <w:framePr w:w="1296" w:x="2429"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税金及附加</w:t>
      </w:r>
    </w:p>
    <w:p>
      <w:pPr>
        <w:framePr w:w="1296" w:x="2429" w:y="211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销售费用</w:t>
      </w:r>
    </w:p>
    <w:p>
      <w:pPr>
        <w:framePr w:w="874" w:x="5305"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60</w:t>
      </w:r>
    </w:p>
    <w:p>
      <w:pPr>
        <w:framePr w:w="1718" w:x="7144" w:y="2112"/>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6,122,089.88</w:t>
      </w:r>
    </w:p>
    <w:p>
      <w:pPr>
        <w:framePr w:w="1718" w:x="7144" w:y="211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35,025,076.41</w:t>
      </w:r>
    </w:p>
    <w:p>
      <w:pPr>
        <w:framePr w:w="1718" w:x="7144" w:y="211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165,984,000.89</w:t>
      </w:r>
    </w:p>
    <w:p>
      <w:pPr>
        <w:framePr w:w="1718" w:x="7144" w:y="211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95,964,000.61</w:t>
      </w:r>
    </w:p>
    <w:p>
      <w:pPr>
        <w:framePr w:w="1718" w:x="7144" w:y="211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21,365,791.94</w:t>
      </w:r>
    </w:p>
    <w:p>
      <w:pPr>
        <w:framePr w:w="1718" w:x="7144" w:y="2112"/>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707,507.44</w:t>
      </w:r>
    </w:p>
    <w:p>
      <w:pPr>
        <w:framePr w:w="1718" w:x="9160" w:y="2112"/>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5,615,029.11</w:t>
      </w:r>
    </w:p>
    <w:p>
      <w:pPr>
        <w:framePr w:w="1718" w:x="9160" w:y="211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49,224,586.27</w:t>
      </w:r>
    </w:p>
    <w:p>
      <w:pPr>
        <w:framePr w:w="1718" w:x="9160" w:y="211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166,895,630.55</w:t>
      </w:r>
    </w:p>
    <w:p>
      <w:pPr>
        <w:framePr w:w="1718" w:x="9160" w:y="211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82,408,984.06</w:t>
      </w:r>
    </w:p>
    <w:p>
      <w:pPr>
        <w:framePr w:w="1718" w:x="9160" w:y="211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-5,509,352.08</w:t>
      </w:r>
    </w:p>
    <w:p>
      <w:pPr>
        <w:framePr w:w="1718" w:x="9160" w:y="2112"/>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1,387,831.27</w:t>
      </w:r>
    </w:p>
    <w:p>
      <w:pPr>
        <w:framePr w:w="1718" w:x="9160" w:y="2112"/>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1,304,721.63</w:t>
      </w:r>
    </w:p>
    <w:p>
      <w:pPr>
        <w:framePr w:w="1718" w:x="9160" w:y="2112"/>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5,174,058.77</w:t>
      </w:r>
    </w:p>
    <w:p>
      <w:pPr>
        <w:framePr w:w="1718" w:x="9160" w:y="211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-7,864,860.14</w:t>
      </w:r>
    </w:p>
    <w:p>
      <w:pPr>
        <w:framePr w:w="874" w:x="5305"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61</w:t>
      </w:r>
    </w:p>
    <w:p>
      <w:pPr>
        <w:framePr w:w="874" w:x="5305" w:y="239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62</w:t>
      </w:r>
    </w:p>
    <w:p>
      <w:pPr>
        <w:framePr w:w="874" w:x="5305" w:y="239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63</w:t>
      </w:r>
    </w:p>
    <w:p>
      <w:pPr>
        <w:framePr w:w="874" w:x="5305" w:y="239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64</w:t>
      </w:r>
    </w:p>
    <w:p>
      <w:pPr>
        <w:framePr w:w="1085" w:x="2429"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管理费用</w:t>
      </w:r>
    </w:p>
    <w:p>
      <w:pPr>
        <w:framePr w:w="1085" w:x="2429"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研发费用</w:t>
      </w:r>
    </w:p>
    <w:p>
      <w:pPr>
        <w:framePr w:w="1085" w:x="2429"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w:t>
      </w:r>
    </w:p>
    <w:p>
      <w:pPr>
        <w:framePr w:w="1718" w:x="2429" w:y="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其中：利息费用</w:t>
      </w:r>
    </w:p>
    <w:p>
      <w:pPr>
        <w:framePr w:w="1718" w:x="2429" w:y="3523"/>
        <w:widowControl w:val="0"/>
        <w:autoSpaceDE w:val="0"/>
        <w:autoSpaceDN w:val="0"/>
        <w:spacing w:before="72"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1507" w:x="7355" w:y="38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3,112,976.24</w:t>
      </w:r>
    </w:p>
    <w:p>
      <w:pPr>
        <w:framePr w:w="1507" w:x="7355" w:y="380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6,297,900.30</w:t>
      </w:r>
    </w:p>
    <w:p>
      <w:pPr>
        <w:framePr w:w="1507" w:x="7355" w:y="380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8,449,731.93</w:t>
      </w:r>
    </w:p>
    <w:p>
      <w:pPr>
        <w:framePr w:w="1507" w:x="2009" w:y="4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加：其他收益</w:t>
      </w:r>
    </w:p>
    <w:p>
      <w:pPr>
        <w:framePr w:w="874" w:x="5305" w:y="40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65</w:t>
      </w:r>
    </w:p>
    <w:p>
      <w:pPr>
        <w:framePr w:w="3749" w:x="2429" w:y="43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投资收益（损失以“－”号填</w:t>
      </w:r>
      <w:r>
        <w:rPr>
          <w:rFonts w:eastAsiaTheme="minorEastAsia" w:hAnsiTheme="minorHAnsi" w:cstheme="minorBidi"/>
          <w:color w:val="000000"/>
          <w:spacing w:val="1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66</w:t>
      </w:r>
    </w:p>
    <w:p>
      <w:pPr>
        <w:framePr w:w="662" w:x="1798"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列）</w:t>
      </w:r>
    </w:p>
    <w:p>
      <w:pPr>
        <w:framePr w:w="2986" w:x="2429" w:y="4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其中：对联营企业和合营企业</w:t>
      </w:r>
    </w:p>
    <w:p>
      <w:pPr>
        <w:framePr w:w="1296" w:x="1798" w:y="51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的投资收益</w:t>
      </w:r>
    </w:p>
    <w:p>
      <w:pPr>
        <w:framePr w:w="3533" w:x="1798" w:y="5479"/>
        <w:widowControl w:val="0"/>
        <w:autoSpaceDE w:val="0"/>
        <w:autoSpaceDN w:val="0"/>
        <w:spacing w:line="211" w:lineRule="exact"/>
        <w:ind w:left="115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以摊余成本计量的金融</w:t>
      </w:r>
    </w:p>
    <w:p>
      <w:pPr>
        <w:framePr w:w="3533" w:x="1798" w:y="547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资产终止确认收益</w:t>
      </w:r>
    </w:p>
    <w:p>
      <w:pPr>
        <w:framePr w:w="3533" w:x="1798" w:y="5479"/>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汇兑收益（损失以“－”号填</w:t>
      </w:r>
    </w:p>
    <w:p>
      <w:pPr>
        <w:framePr w:w="662" w:x="1798" w:y="6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列）</w:t>
      </w:r>
    </w:p>
    <w:p>
      <w:pPr>
        <w:framePr w:w="4381" w:x="1798" w:y="6588"/>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4"/>
          <w:sz w:val="21"/>
          <w:szCs w:val="22"/>
          <w:lang w:val="en-US" w:eastAsia="en-US" w:bidi="ar-SA"/>
        </w:rPr>
        <w:t>净敞口套期收益（损失以“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4381" w:x="1798" w:y="658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4381" w:x="1798" w:y="6588"/>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公允价值变动收益（损失以</w:t>
      </w:r>
    </w:p>
    <w:p>
      <w:pPr>
        <w:framePr w:w="4381" w:x="1798" w:y="658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4381" w:x="1798" w:y="6588"/>
        <w:widowControl w:val="0"/>
        <w:autoSpaceDE w:val="0"/>
        <w:autoSpaceDN w:val="0"/>
        <w:spacing w:before="72" w:line="211" w:lineRule="exact"/>
        <w:ind w:left="631"/>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信用减值损失（损失以“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9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69</w:t>
      </w:r>
    </w:p>
    <w:p>
      <w:pPr>
        <w:framePr w:w="4381" w:x="1798" w:y="658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4381" w:x="1798" w:y="6588"/>
        <w:widowControl w:val="0"/>
        <w:autoSpaceDE w:val="0"/>
        <w:autoSpaceDN w:val="0"/>
        <w:spacing w:before="72" w:line="211" w:lineRule="exact"/>
        <w:ind w:left="631"/>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资产减值损失（损失以“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9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70</w:t>
      </w:r>
    </w:p>
    <w:p>
      <w:pPr>
        <w:framePr w:w="4381" w:x="1798" w:y="658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4381" w:x="1798" w:y="6588"/>
        <w:widowControl w:val="0"/>
        <w:autoSpaceDE w:val="0"/>
        <w:autoSpaceDN w:val="0"/>
        <w:spacing w:before="72" w:line="211" w:lineRule="exact"/>
        <w:ind w:left="631"/>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资产处置收益（损失以“－”</w:t>
      </w:r>
      <w:r>
        <w:rPr>
          <w:rFonts w:eastAsiaTheme="minorEastAsia" w:hAnsiTheme="minorHAnsi" w:cstheme="minorBidi"/>
          <w:color w:val="000000"/>
          <w:spacing w:val="9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71</w:t>
      </w:r>
    </w:p>
    <w:p>
      <w:pPr>
        <w:framePr w:w="4381" w:x="1798" w:y="658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874" w:x="5305" w:y="71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68</w:t>
      </w:r>
    </w:p>
    <w:p>
      <w:pPr>
        <w:framePr w:w="1613" w:x="7249" w:y="71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10,318,919.54</w:t>
      </w:r>
    </w:p>
    <w:p>
      <w:pPr>
        <w:framePr w:w="1613" w:x="7249" w:y="7145"/>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4,063,128.97</w:t>
      </w:r>
    </w:p>
    <w:p>
      <w:pPr>
        <w:framePr w:w="1613" w:x="7249" w:y="7145"/>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-3,711,226.91</w:t>
      </w:r>
    </w:p>
    <w:p>
      <w:pPr>
        <w:framePr w:w="1613" w:x="7249" w:y="7145"/>
        <w:widowControl w:val="0"/>
        <w:autoSpaceDE w:val="0"/>
        <w:autoSpaceDN w:val="0"/>
        <w:spacing w:before="344"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-9,382.26</w:t>
      </w:r>
    </w:p>
    <w:p>
      <w:pPr>
        <w:framePr w:w="1613" w:x="9266" w:y="71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-3,174,449.00</w:t>
      </w:r>
    </w:p>
    <w:p>
      <w:pPr>
        <w:framePr w:w="1613" w:x="9266" w:y="7145"/>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1,553,860.63</w:t>
      </w:r>
    </w:p>
    <w:p>
      <w:pPr>
        <w:framePr w:w="1613" w:x="9266" w:y="7145"/>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-9,458,840.32</w:t>
      </w:r>
    </w:p>
    <w:p>
      <w:pPr>
        <w:framePr w:w="1613" w:x="9266" w:y="7145"/>
        <w:widowControl w:val="0"/>
        <w:autoSpaceDE w:val="0"/>
        <w:autoSpaceDN w:val="0"/>
        <w:spacing w:before="344"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-474,943.84</w:t>
      </w:r>
    </w:p>
    <w:p>
      <w:pPr>
        <w:framePr w:w="3830" w:x="1798" w:y="93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三、营业利润（亏损以“－”号填列）</w:t>
      </w:r>
    </w:p>
    <w:p>
      <w:pPr>
        <w:framePr w:w="3830" w:x="1798" w:y="936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加：营业外收入</w:t>
      </w:r>
    </w:p>
    <w:p>
      <w:pPr>
        <w:framePr w:w="1718" w:x="7144" w:y="93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228,254,394.13</w:t>
      </w:r>
    </w:p>
    <w:p>
      <w:pPr>
        <w:framePr w:w="1718" w:x="7144" w:y="9363"/>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410,458.64</w:t>
      </w:r>
    </w:p>
    <w:p>
      <w:pPr>
        <w:framePr w:w="1718" w:x="9160" w:y="93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241,947,464.70</w:t>
      </w:r>
    </w:p>
    <w:p>
      <w:pPr>
        <w:framePr w:w="1718" w:x="9160" w:y="9363"/>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174,609.36</w:t>
      </w:r>
    </w:p>
    <w:p>
      <w:pPr>
        <w:framePr w:w="874" w:x="5305" w:y="96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72</w:t>
      </w:r>
    </w:p>
    <w:p>
      <w:pPr>
        <w:framePr w:w="874" w:x="5305" w:y="964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73</w:t>
      </w:r>
    </w:p>
    <w:p>
      <w:pPr>
        <w:framePr w:w="1718" w:x="2009" w:y="99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减：营业外支出</w:t>
      </w:r>
    </w:p>
    <w:p>
      <w:pPr>
        <w:framePr w:w="1718" w:x="7144" w:y="992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14,013,484.07</w:t>
      </w:r>
    </w:p>
    <w:p>
      <w:pPr>
        <w:framePr w:w="1718" w:x="7144" w:y="992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214,651,368.70</w:t>
      </w:r>
    </w:p>
    <w:p>
      <w:pPr>
        <w:framePr w:w="1718" w:x="9160" w:y="9927"/>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2,987,529.96</w:t>
      </w:r>
    </w:p>
    <w:p>
      <w:pPr>
        <w:framePr w:w="1718" w:x="9160" w:y="992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239,134,544.10</w:t>
      </w:r>
    </w:p>
    <w:p>
      <w:pPr>
        <w:framePr w:w="3619" w:x="1798" w:y="102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四、利润总额（亏损总额以“－”号</w:t>
      </w:r>
    </w:p>
    <w:p>
      <w:pPr>
        <w:framePr w:w="3619" w:x="1798" w:y="102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填列）</w:t>
      </w:r>
    </w:p>
    <w:p>
      <w:pPr>
        <w:framePr w:w="1718" w:x="2009" w:y="10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减：所得税费用</w:t>
      </w:r>
    </w:p>
    <w:p>
      <w:pPr>
        <w:framePr w:w="874" w:x="5305" w:y="107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74</w:t>
      </w:r>
    </w:p>
    <w:p>
      <w:pPr>
        <w:framePr w:w="1718" w:x="7144" w:y="10765"/>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38,617,033.60</w:t>
      </w:r>
    </w:p>
    <w:p>
      <w:pPr>
        <w:framePr w:w="1718" w:x="7144" w:y="1076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176,034,335.10</w:t>
      </w:r>
    </w:p>
    <w:p>
      <w:pPr>
        <w:framePr w:w="1718" w:x="9160" w:y="10765"/>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34,516,203.09</w:t>
      </w:r>
    </w:p>
    <w:p>
      <w:pPr>
        <w:framePr w:w="1718" w:x="9160" w:y="1076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204,618,341.01</w:t>
      </w:r>
    </w:p>
    <w:p>
      <w:pPr>
        <w:framePr w:w="3830" w:x="1798" w:y="11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五、净利润（净亏损以“－”号填列）</w:t>
      </w:r>
    </w:p>
    <w:p>
      <w:pPr>
        <w:framePr w:w="3830" w:x="1798" w:y="110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（一）按经营持续性分类</w:t>
      </w:r>
    </w:p>
    <w:p>
      <w:pPr>
        <w:framePr w:w="3830" w:x="1798" w:y="11048"/>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持续经营净利润（净亏损以</w:t>
      </w:r>
    </w:p>
    <w:p>
      <w:pPr>
        <w:framePr w:w="3830" w:x="1798" w:y="1104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1718" w:x="7144" w:y="116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176,034,335.10</w:t>
      </w:r>
    </w:p>
    <w:p>
      <w:pPr>
        <w:framePr w:w="1718" w:x="9160" w:y="116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204,618,341.01</w:t>
      </w:r>
    </w:p>
    <w:p>
      <w:pPr>
        <w:framePr w:w="3394" w:x="1798" w:y="121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终止经营净利润（净亏损以</w:t>
      </w:r>
    </w:p>
    <w:p>
      <w:pPr>
        <w:framePr w:w="3394" w:x="1798" w:y="12166"/>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3536" w:x="1798" w:y="127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（二）按所有权归属分类</w:t>
      </w:r>
    </w:p>
    <w:p>
      <w:pPr>
        <w:framePr w:w="3536" w:x="1798" w:y="12721"/>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归属于母公司股东的净利润</w:t>
      </w:r>
    </w:p>
    <w:p>
      <w:pPr>
        <w:framePr w:w="3536" w:x="1798" w:y="1272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（净亏损以“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”号填列）</w:t>
      </w:r>
    </w:p>
    <w:p>
      <w:pPr>
        <w:framePr w:w="3536" w:x="1798" w:y="12721"/>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4"/>
          <w:sz w:val="21"/>
          <w:szCs w:val="22"/>
          <w:lang w:val="en-US" w:eastAsia="en-US" w:bidi="ar-SA"/>
        </w:rPr>
        <w:t>少数股东损益（净亏损以“</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3536" w:x="1798" w:y="1272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1718" w:x="7144" w:y="130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176,034,335.10</w:t>
      </w:r>
    </w:p>
    <w:p>
      <w:pPr>
        <w:framePr w:w="1718" w:x="9160" w:y="130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204,618,341.01</w:t>
      </w:r>
    </w:p>
    <w:p>
      <w:pPr>
        <w:framePr w:w="3535" w:x="1798" w:y="141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六、其他综合收益的税后净额</w:t>
      </w:r>
    </w:p>
    <w:p>
      <w:pPr>
        <w:framePr w:w="3535" w:x="1798" w:y="1411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（一）归属母公司所有者的其他综</w:t>
      </w:r>
    </w:p>
    <w:p>
      <w:pPr>
        <w:framePr w:w="3535" w:x="1798" w:y="1411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合收益的税后净额</w:t>
      </w:r>
    </w:p>
    <w:p>
      <w:pPr>
        <w:framePr w:w="3091" w:x="2218" w:y="149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．不能重分类进损益的其他综</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93" type="#_x0000_t75" style="width:445.6pt;height:2.7pt;margin-top:53.65pt;margin-left:87.45pt;mso-position-horizontal-relative:page;mso-position-vertical-relative:page;position:absolute;z-index:-251410432">
            <v:imagedata r:id="rId144" o:title=""/>
          </v:shape>
        </w:pict>
      </w:r>
      <w:r>
        <w:rPr>
          <w:noProof/>
        </w:rPr>
        <w:pict>
          <v:shape id="_x0000_s1194" type="#_x0000_t75" style="width:454.95pt;height:686.95pt;margin-top:74.3pt;margin-left:83.25pt;mso-position-horizontal-relative:page;mso-position-vertical-relative:page;position:absolute;z-index:-251588608">
            <v:imagedata r:id="rId145" o:title=""/>
          </v:shape>
        </w:pict>
      </w:r>
    </w:p>
    <w:p>
      <w:pPr>
        <w:spacing w:line="0" w:lineRule="atLeast"/>
        <w:rPr>
          <w:rFonts w:ascii="Arial" w:eastAsiaTheme="minorEastAsia" w:hAnsiTheme="minorHAnsi" w:cstheme="minorBidi"/>
          <w:color w:val="FF0000"/>
          <w:sz w:val="2"/>
          <w:szCs w:val="22"/>
          <w:lang w:val="en-US" w:eastAsia="en-US" w:bidi="ar-SA"/>
        </w:rPr>
      </w:pPr>
      <w:bookmarkStart w:id="69" w:name="br1_68"/>
      <w:bookmarkEnd w:id="6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500"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合收益</w:t>
      </w:r>
    </w:p>
    <w:p>
      <w:pPr>
        <w:framePr w:w="3500" w:x="1798" w:y="1547"/>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）重新计量设定受益计划变动</w:t>
      </w:r>
    </w:p>
    <w:p>
      <w:pPr>
        <w:framePr w:w="451" w:x="1798"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3500" w:x="1798" w:y="2383"/>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）权益法下不能转损益的其他</w:t>
      </w:r>
    </w:p>
    <w:p>
      <w:pPr>
        <w:framePr w:w="3500" w:x="1798" w:y="238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综合收益</w:t>
      </w:r>
    </w:p>
    <w:p>
      <w:pPr>
        <w:framePr w:w="3500" w:x="1798" w:y="2383"/>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）其他权益工具投资公允价值</w:t>
      </w:r>
    </w:p>
    <w:p>
      <w:pPr>
        <w:framePr w:w="3500" w:x="1798" w:y="238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变动</w:t>
      </w:r>
    </w:p>
    <w:p>
      <w:pPr>
        <w:framePr w:w="3500" w:x="1798" w:y="238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）企业自身信用风险公允价值</w:t>
      </w:r>
    </w:p>
    <w:p>
      <w:pPr>
        <w:framePr w:w="662" w:x="1798" w:y="3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变动</w:t>
      </w:r>
    </w:p>
    <w:p>
      <w:pPr>
        <w:framePr w:w="3091" w:x="2218" w:y="40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．将重分类进损益的其他综合</w:t>
      </w:r>
    </w:p>
    <w:p>
      <w:pPr>
        <w:framePr w:w="662" w:x="1798" w:y="4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收益</w:t>
      </w:r>
    </w:p>
    <w:p>
      <w:pPr>
        <w:framePr w:w="3500" w:x="1798" w:y="4603"/>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）权益法下可转损益的其他综</w:t>
      </w:r>
    </w:p>
    <w:p>
      <w:pPr>
        <w:framePr w:w="3500" w:x="1798" w:y="460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合收益</w:t>
      </w:r>
    </w:p>
    <w:p>
      <w:pPr>
        <w:framePr w:w="3500" w:x="1798" w:y="5158"/>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）其他债权投资公允价值变动</w:t>
      </w:r>
    </w:p>
    <w:p>
      <w:pPr>
        <w:framePr w:w="3500" w:x="1798" w:y="5158"/>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）金融资产重分类计入其他综</w:t>
      </w:r>
    </w:p>
    <w:p>
      <w:pPr>
        <w:framePr w:w="3500" w:x="1798" w:y="515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合收益的金额</w:t>
      </w:r>
    </w:p>
    <w:p>
      <w:pPr>
        <w:framePr w:w="3302" w:x="2009" w:y="59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）其他债权投资信用减值准备</w:t>
      </w:r>
    </w:p>
    <w:p>
      <w:pPr>
        <w:framePr w:w="3302" w:x="2009" w:y="59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）现金流量套期储备</w:t>
      </w:r>
    </w:p>
    <w:p>
      <w:pPr>
        <w:framePr w:w="3302" w:x="2009" w:y="59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）外币财务报表折算差额</w:t>
      </w:r>
    </w:p>
    <w:p>
      <w:pPr>
        <w:framePr w:w="3302" w:x="2009" w:y="59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）其他</w:t>
      </w:r>
    </w:p>
    <w:p>
      <w:pPr>
        <w:framePr w:w="3536" w:x="1798" w:y="7123"/>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（二）归属于少数股东的其他综合</w:t>
      </w:r>
    </w:p>
    <w:p>
      <w:pPr>
        <w:framePr w:w="3536" w:x="1798" w:y="712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收益的税后净额</w:t>
      </w:r>
    </w:p>
    <w:p>
      <w:pPr>
        <w:framePr w:w="1930" w:x="1798" w:y="76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七、综合收益总额</w:t>
      </w:r>
    </w:p>
    <w:p>
      <w:pPr>
        <w:framePr w:w="1718" w:x="7144" w:y="76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176,034,335.10</w:t>
      </w:r>
    </w:p>
    <w:p>
      <w:pPr>
        <w:framePr w:w="1718" w:x="7144" w:y="767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176,034,335.10</w:t>
      </w:r>
    </w:p>
    <w:p>
      <w:pPr>
        <w:framePr w:w="1718" w:x="9160" w:y="76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204,618,341.01</w:t>
      </w:r>
    </w:p>
    <w:p>
      <w:pPr>
        <w:framePr w:w="1718" w:x="9160" w:y="767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204,618,341.01</w:t>
      </w:r>
    </w:p>
    <w:p>
      <w:pPr>
        <w:framePr w:w="3536" w:x="1798" w:y="7961"/>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（一）归属于母公司所有者的综合</w:t>
      </w:r>
    </w:p>
    <w:p>
      <w:pPr>
        <w:framePr w:w="3536" w:x="1798" w:y="796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收益总额</w:t>
      </w:r>
    </w:p>
    <w:p>
      <w:pPr>
        <w:framePr w:w="3536" w:x="1798" w:y="8515"/>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（二）归属于少数股东的综合收益</w:t>
      </w:r>
    </w:p>
    <w:p>
      <w:pPr>
        <w:framePr w:w="3536" w:x="1798" w:y="8515"/>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总额</w:t>
      </w:r>
    </w:p>
    <w:p>
      <w:pPr>
        <w:framePr w:w="1718" w:x="1798" w:y="90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八、每股收益：</w:t>
      </w:r>
    </w:p>
    <w:p>
      <w:pPr>
        <w:framePr w:w="2880" w:x="2009" w:y="93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（一）基本每股收益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股</w:t>
      </w:r>
      <w:r>
        <w:rPr>
          <w:rFonts w:ascii="SimSun" w:eastAsiaTheme="minorEastAsia" w:hAnsiTheme="minorHAnsi" w:cstheme="minorBidi"/>
          <w:color w:val="000000"/>
          <w:sz w:val="21"/>
          <w:szCs w:val="22"/>
          <w:lang w:val="en-US" w:eastAsia="en-US" w:bidi="ar-SA"/>
        </w:rPr>
        <w:t>)</w:t>
      </w:r>
    </w:p>
    <w:p>
      <w:pPr>
        <w:framePr w:w="2880" w:x="2009" w:y="935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（二）稀释每股收益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股</w:t>
      </w:r>
      <w:r>
        <w:rPr>
          <w:rFonts w:ascii="SimSun" w:eastAsiaTheme="minorEastAsia" w:hAnsiTheme="minorHAnsi" w:cstheme="minorBidi"/>
          <w:color w:val="000000"/>
          <w:sz w:val="21"/>
          <w:szCs w:val="22"/>
          <w:lang w:val="en-US" w:eastAsia="en-US" w:bidi="ar-SA"/>
        </w:rPr>
        <w:t>)</w:t>
      </w:r>
    </w:p>
    <w:p>
      <w:pPr>
        <w:framePr w:w="662" w:x="8195" w:y="93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1.12</w:t>
      </w:r>
    </w:p>
    <w:p>
      <w:pPr>
        <w:framePr w:w="662" w:x="8195" w:y="935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1.12</w:t>
      </w:r>
    </w:p>
    <w:p>
      <w:pPr>
        <w:framePr w:w="662" w:x="10212" w:y="93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1.30</w:t>
      </w:r>
    </w:p>
    <w:p>
      <w:pPr>
        <w:framePr w:w="662" w:x="10212" w:y="935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1.30</w:t>
      </w:r>
    </w:p>
    <w:p>
      <w:pPr>
        <w:framePr w:w="9079" w:x="1798" w:y="101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本期发生同一控制下企业合并的，被合并方在合并前实现的净利润为：</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2"/>
          <w:sz w:val="21"/>
          <w:szCs w:val="22"/>
          <w:lang w:val="en-US" w:eastAsia="en-US" w:bidi="ar-SA"/>
        </w:rPr>
        <w:t>元</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上期被合并方实</w:t>
      </w:r>
    </w:p>
    <w:p>
      <w:pPr>
        <w:framePr w:w="9079" w:x="1798" w:y="1019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现的净利润为：</w:t>
      </w:r>
      <w:r>
        <w:rPr>
          <w:rFonts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2141" w:x="1798" w:y="107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635" w:y="107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8207" w:y="107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507" w:x="5581" w:y="113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母公司利润表</w:t>
      </w:r>
    </w:p>
    <w:p>
      <w:pPr>
        <w:framePr w:w="1764" w:x="5454" w:y="116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p>
    <w:p>
      <w:pPr>
        <w:framePr w:w="2343" w:x="8531" w:y="119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343" w:x="8531" w:y="11945"/>
        <w:widowControl w:val="0"/>
        <w:autoSpaceDE w:val="0"/>
        <w:autoSpaceDN w:val="0"/>
        <w:spacing w:before="70" w:line="211" w:lineRule="exact"/>
        <w:ind w:left="75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1"/>
          <w:sz w:val="21"/>
          <w:szCs w:val="22"/>
          <w:lang w:val="en-US" w:eastAsia="en-US" w:bidi="ar-SA"/>
        </w:rPr>
        <w:t>年度</w:t>
      </w:r>
    </w:p>
    <w:p>
      <w:pPr>
        <w:framePr w:w="2095" w:x="1779" w:y="12226"/>
        <w:widowControl w:val="0"/>
        <w:autoSpaceDE w:val="0"/>
        <w:autoSpaceDN w:val="0"/>
        <w:spacing w:line="211" w:lineRule="exact"/>
        <w:ind w:left="14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095" w:x="1779" w:y="12226"/>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一、营业收入</w:t>
      </w:r>
    </w:p>
    <w:p>
      <w:pPr>
        <w:framePr w:w="2095" w:x="1779" w:y="12226"/>
        <w:widowControl w:val="0"/>
        <w:autoSpaceDE w:val="0"/>
        <w:autoSpaceDN w:val="0"/>
        <w:spacing w:before="70" w:line="211" w:lineRule="exact"/>
        <w:ind w:left="23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减：营业成本</w:t>
      </w:r>
    </w:p>
    <w:p>
      <w:pPr>
        <w:framePr w:w="2095" w:x="1779" w:y="12226"/>
        <w:widowControl w:val="0"/>
        <w:autoSpaceDE w:val="0"/>
        <w:autoSpaceDN w:val="0"/>
        <w:spacing w:before="72" w:line="211" w:lineRule="exact"/>
        <w:ind w:left="65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税金及附加</w:t>
      </w:r>
    </w:p>
    <w:p>
      <w:pPr>
        <w:framePr w:w="2095" w:x="1779" w:y="12226"/>
        <w:widowControl w:val="0"/>
        <w:autoSpaceDE w:val="0"/>
        <w:autoSpaceDN w:val="0"/>
        <w:spacing w:before="72" w:line="211" w:lineRule="exact"/>
        <w:ind w:left="65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销售费用</w:t>
      </w:r>
    </w:p>
    <w:p>
      <w:pPr>
        <w:framePr w:w="662" w:x="5744" w:y="12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附注</w:t>
      </w:r>
    </w:p>
    <w:p>
      <w:pPr>
        <w:framePr w:w="1138" w:x="7269" w:y="12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年度</w:t>
      </w:r>
    </w:p>
    <w:p>
      <w:pPr>
        <w:framePr w:w="3939" w:x="6935" w:y="125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1,354,081,739.14</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1,263,858,790.11</w:t>
      </w:r>
    </w:p>
    <w:p>
      <w:pPr>
        <w:framePr w:w="1930" w:x="6935" w:y="127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1,183,978,597.94</w:t>
      </w:r>
    </w:p>
    <w:p>
      <w:pPr>
        <w:framePr w:w="1930" w:x="6935" w:y="12791"/>
        <w:widowControl w:val="0"/>
        <w:autoSpaceDE w:val="0"/>
        <w:autoSpaceDN w:val="0"/>
        <w:spacing w:before="72"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771,854.42</w:t>
      </w:r>
    </w:p>
    <w:p>
      <w:pPr>
        <w:framePr w:w="1718" w:x="9160" w:y="127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951,504,021.63</w:t>
      </w:r>
    </w:p>
    <w:p>
      <w:pPr>
        <w:framePr w:w="1718" w:x="9160" w:y="12791"/>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809,293.41</w:t>
      </w:r>
    </w:p>
    <w:p>
      <w:pPr>
        <w:framePr w:w="1613" w:x="7249" w:y="1335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9,662,739.12</w:t>
      </w:r>
    </w:p>
    <w:p>
      <w:pPr>
        <w:framePr w:w="1613" w:x="7249" w:y="1335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42,565,343.98</w:t>
      </w:r>
    </w:p>
    <w:p>
      <w:pPr>
        <w:framePr w:w="1613" w:x="7249" w:y="133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49,275,001.78</w:t>
      </w:r>
    </w:p>
    <w:p>
      <w:pPr>
        <w:framePr w:w="1613" w:x="7249" w:y="133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10,782,420.61</w:t>
      </w:r>
    </w:p>
    <w:p>
      <w:pPr>
        <w:framePr w:w="1613" w:x="7249" w:y="13357"/>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556,055.36</w:t>
      </w:r>
    </w:p>
    <w:p>
      <w:pPr>
        <w:framePr w:w="1613" w:x="9266" w:y="133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14,941,968.03</w:t>
      </w:r>
    </w:p>
    <w:p>
      <w:pPr>
        <w:framePr w:w="1613" w:x="9266" w:y="1335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35,965,824.53</w:t>
      </w:r>
    </w:p>
    <w:p>
      <w:pPr>
        <w:framePr w:w="1613" w:x="9266" w:y="133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44,816,222.48</w:t>
      </w:r>
    </w:p>
    <w:p>
      <w:pPr>
        <w:framePr w:w="1613" w:x="9266" w:y="133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-5,898,465.28</w:t>
      </w:r>
    </w:p>
    <w:p>
      <w:pPr>
        <w:framePr w:w="1613" w:x="9266" w:y="13357"/>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261,241.67</w:t>
      </w:r>
    </w:p>
    <w:p>
      <w:pPr>
        <w:framePr w:w="1085" w:x="2429" w:y="136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管理费用</w:t>
      </w:r>
    </w:p>
    <w:p>
      <w:pPr>
        <w:framePr w:w="1085" w:x="2429" w:y="139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研发费用</w:t>
      </w:r>
    </w:p>
    <w:p>
      <w:pPr>
        <w:framePr w:w="1085" w:x="2429" w:y="142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w:t>
      </w:r>
    </w:p>
    <w:p>
      <w:pPr>
        <w:framePr w:w="1718" w:x="2429" w:y="144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其中：利息费用</w:t>
      </w:r>
    </w:p>
    <w:p>
      <w:pPr>
        <w:framePr w:w="1718" w:x="2429" w:y="14485"/>
        <w:widowControl w:val="0"/>
        <w:autoSpaceDE w:val="0"/>
        <w:autoSpaceDN w:val="0"/>
        <w:spacing w:before="72"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1507" w:x="7355" w:y="147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1,969,957.98</w:t>
      </w:r>
    </w:p>
    <w:p>
      <w:pPr>
        <w:framePr w:w="1507" w:x="7355" w:y="1476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3,614,546.61</w:t>
      </w:r>
    </w:p>
    <w:p>
      <w:pPr>
        <w:framePr w:w="1296" w:x="9580" w:y="147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665,509.14</w:t>
      </w:r>
    </w:p>
    <w:p>
      <w:pPr>
        <w:framePr w:w="1507" w:x="2009" w:y="150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加：其他收益</w:t>
      </w:r>
    </w:p>
    <w:p>
      <w:pPr>
        <w:framePr w:w="1507" w:x="9372" w:y="150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4,815,354.12</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95" type="#_x0000_t75" style="width:445.6pt;height:2.7pt;margin-top:53.65pt;margin-left:87.45pt;mso-position-horizontal-relative:page;mso-position-vertical-relative:page;position:absolute;z-index:-251289600">
            <v:imagedata r:id="rId146" o:title=""/>
          </v:shape>
        </w:pict>
      </w:r>
      <w:r>
        <w:rPr>
          <w:noProof/>
        </w:rPr>
        <w:pict>
          <v:shape id="_x0000_s1196" type="#_x0000_t75" style="width:454.95pt;height:421.1pt;margin-top:74.3pt;margin-left:83.25pt;mso-position-horizontal-relative:page;mso-position-vertical-relative:page;position:absolute;z-index:-251409408">
            <v:imagedata r:id="rId147" o:title=""/>
          </v:shape>
        </w:pict>
      </w:r>
      <w:r>
        <w:rPr>
          <w:noProof/>
        </w:rPr>
        <w:pict>
          <v:shape id="_x0000_s1197" type="#_x0000_t75" style="width:454.95pt;height:157.8pt;margin-top:608.35pt;margin-left:83.25pt;mso-position-horizontal-relative:page;mso-position-vertical-relative:page;position:absolute;z-index:-251587584">
            <v:imagedata r:id="rId148" o:title=""/>
          </v:shape>
        </w:pict>
      </w:r>
    </w:p>
    <w:p>
      <w:pPr>
        <w:spacing w:line="0" w:lineRule="atLeast"/>
        <w:rPr>
          <w:rFonts w:ascii="Arial" w:eastAsiaTheme="minorEastAsia" w:hAnsiTheme="minorHAnsi" w:cstheme="minorBidi"/>
          <w:color w:val="FF0000"/>
          <w:sz w:val="2"/>
          <w:szCs w:val="22"/>
          <w:lang w:val="en-US" w:eastAsia="en-US" w:bidi="ar-SA"/>
        </w:rPr>
      </w:pPr>
      <w:bookmarkStart w:id="70" w:name="br1_69"/>
      <w:bookmarkEnd w:id="7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986" w:x="242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投资收益（损失以“－”号填</w:t>
      </w:r>
    </w:p>
    <w:p>
      <w:pPr>
        <w:framePr w:w="2986" w:x="2429" w:y="1547"/>
        <w:widowControl w:val="0"/>
        <w:autoSpaceDE w:val="0"/>
        <w:autoSpaceDN w:val="0"/>
        <w:spacing w:before="3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其中：对联营企业和合营企业</w:t>
      </w:r>
    </w:p>
    <w:p>
      <w:pPr>
        <w:framePr w:w="1507" w:x="7355"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3,601,379.86</w:t>
      </w:r>
    </w:p>
    <w:p>
      <w:pPr>
        <w:framePr w:w="1718" w:x="9160"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-10,337,536.49</w:t>
      </w:r>
    </w:p>
    <w:p>
      <w:pPr>
        <w:framePr w:w="662" w:x="1798"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列）</w:t>
      </w:r>
    </w:p>
    <w:p>
      <w:pPr>
        <w:framePr w:w="1296" w:x="1798" w:y="2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的投资收益</w:t>
      </w:r>
    </w:p>
    <w:p>
      <w:pPr>
        <w:framePr w:w="3605" w:x="1798" w:y="2657"/>
        <w:widowControl w:val="0"/>
        <w:autoSpaceDE w:val="0"/>
        <w:autoSpaceDN w:val="0"/>
        <w:spacing w:line="211" w:lineRule="exact"/>
        <w:ind w:left="115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以摊余成本计量的金融</w:t>
      </w:r>
    </w:p>
    <w:p>
      <w:pPr>
        <w:framePr w:w="3605" w:x="1798" w:y="265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资产终止确认收益</w:t>
      </w:r>
    </w:p>
    <w:p>
      <w:pPr>
        <w:framePr w:w="3605" w:x="1798" w:y="2657"/>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4"/>
          <w:sz w:val="21"/>
          <w:szCs w:val="22"/>
          <w:lang w:val="en-US" w:eastAsia="en-US" w:bidi="ar-SA"/>
        </w:rPr>
        <w:t>净敞口套期收益（损失以“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3605" w:x="1798" w:y="265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3605" w:x="1798" w:y="2657"/>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公允价值变动收益（损失以</w:t>
      </w:r>
    </w:p>
    <w:p>
      <w:pPr>
        <w:framePr w:w="3605" w:x="1798" w:y="265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3605" w:x="1798" w:y="2657"/>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信用减值损失（损失以“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3605" w:x="1798" w:y="265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3605" w:x="1798" w:y="2657"/>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资产减值损失（损失以“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3605" w:x="1798" w:y="2657"/>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3605" w:x="1798" w:y="2657"/>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资产处置收益（损失以“－”</w:t>
      </w:r>
    </w:p>
    <w:p>
      <w:pPr>
        <w:framePr w:w="1507" w:x="7355" w:y="37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4,020,110.00</w:t>
      </w:r>
    </w:p>
    <w:p>
      <w:pPr>
        <w:framePr w:w="1507" w:x="7355" w:y="3765"/>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3,549,926.67</w:t>
      </w:r>
    </w:p>
    <w:p>
      <w:pPr>
        <w:framePr w:w="1507" w:x="7355" w:y="3765"/>
        <w:widowControl w:val="0"/>
        <w:autoSpaceDE w:val="0"/>
        <w:autoSpaceDN w:val="0"/>
        <w:spacing w:before="343"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735,661.09</w:t>
      </w:r>
    </w:p>
    <w:p>
      <w:pPr>
        <w:framePr w:w="1507" w:x="7355" w:y="3765"/>
        <w:widowControl w:val="0"/>
        <w:autoSpaceDE w:val="0"/>
        <w:autoSpaceDN w:val="0"/>
        <w:spacing w:before="344"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122,448.04</w:t>
      </w:r>
    </w:p>
    <w:p>
      <w:pPr>
        <w:framePr w:w="1613" w:x="9266" w:y="37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613" w:x="9266" w:y="3765"/>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4,545,436.01</w:t>
      </w:r>
    </w:p>
    <w:p>
      <w:pPr>
        <w:framePr w:w="1613" w:x="9266" w:y="3765"/>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-5,429,670.81</w:t>
      </w:r>
    </w:p>
    <w:p>
      <w:pPr>
        <w:framePr w:w="1613" w:x="9266" w:y="3765"/>
        <w:widowControl w:val="0"/>
        <w:autoSpaceDE w:val="0"/>
        <w:autoSpaceDN w:val="0"/>
        <w:spacing w:before="344"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20,419.27</w:t>
      </w:r>
    </w:p>
    <w:p>
      <w:pPr>
        <w:framePr w:w="1085" w:x="1798" w:y="57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3830" w:x="1779" w:y="59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二、营业利润（亏损以“－”号填列）</w:t>
      </w:r>
    </w:p>
    <w:p>
      <w:pPr>
        <w:framePr w:w="3830" w:x="1779" w:y="5986"/>
        <w:widowControl w:val="0"/>
        <w:autoSpaceDE w:val="0"/>
        <w:autoSpaceDN w:val="0"/>
        <w:spacing w:before="70" w:line="211" w:lineRule="exact"/>
        <w:ind w:left="23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加：营业外收入</w:t>
      </w:r>
    </w:p>
    <w:p>
      <w:pPr>
        <w:framePr w:w="1613" w:x="7249" w:y="59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72,689,853.56</w:t>
      </w:r>
    </w:p>
    <w:p>
      <w:pPr>
        <w:framePr w:w="1613" w:x="7249" w:y="5986"/>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98,930.07</w:t>
      </w:r>
    </w:p>
    <w:p>
      <w:pPr>
        <w:framePr w:w="1718" w:x="9160" w:y="59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212,036,656.81</w:t>
      </w:r>
    </w:p>
    <w:p>
      <w:pPr>
        <w:framePr w:w="1718" w:x="9160" w:y="5986"/>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110,900.57</w:t>
      </w:r>
    </w:p>
    <w:p>
      <w:pPr>
        <w:framePr w:w="1718" w:x="2009" w:y="65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减：营业外支出</w:t>
      </w:r>
    </w:p>
    <w:p>
      <w:pPr>
        <w:framePr w:w="1613" w:x="7249" w:y="6550"/>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1,529,689.11</w:t>
      </w:r>
    </w:p>
    <w:p>
      <w:pPr>
        <w:framePr w:w="1613" w:x="7249" w:y="655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71,259,094.52</w:t>
      </w:r>
    </w:p>
    <w:p>
      <w:pPr>
        <w:framePr w:w="1296" w:x="9580" w:y="655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391,820.92</w:t>
      </w:r>
    </w:p>
    <w:p>
      <w:pPr>
        <w:framePr w:w="3619" w:x="1779" w:y="6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三、利润总额（亏损总额以“－”号</w:t>
      </w:r>
    </w:p>
    <w:p>
      <w:pPr>
        <w:framePr w:w="3619" w:x="1779" w:y="683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填列）</w:t>
      </w:r>
    </w:p>
    <w:p>
      <w:pPr>
        <w:framePr w:w="1718" w:x="9160" w:y="68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211,755,736.46</w:t>
      </w:r>
    </w:p>
    <w:p>
      <w:pPr>
        <w:framePr w:w="1718" w:x="2199" w:y="73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减：所得税费用</w:t>
      </w:r>
    </w:p>
    <w:p>
      <w:pPr>
        <w:framePr w:w="1613" w:x="7249" w:y="738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5,918,691.27</w:t>
      </w:r>
    </w:p>
    <w:p>
      <w:pPr>
        <w:framePr w:w="1613" w:x="7249" w:y="738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65,340,403.25</w:t>
      </w:r>
    </w:p>
    <w:p>
      <w:pPr>
        <w:framePr w:w="1613" w:x="7249" w:y="738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65,340,403.25</w:t>
      </w:r>
    </w:p>
    <w:p>
      <w:pPr>
        <w:framePr w:w="1718" w:x="9160" w:y="738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26,724,320.76</w:t>
      </w:r>
    </w:p>
    <w:p>
      <w:pPr>
        <w:framePr w:w="1718" w:x="9160" w:y="738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185,031,415.70</w:t>
      </w:r>
    </w:p>
    <w:p>
      <w:pPr>
        <w:framePr w:w="1718" w:x="9160" w:y="738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185,031,415.70</w:t>
      </w:r>
    </w:p>
    <w:p>
      <w:pPr>
        <w:framePr w:w="3830" w:x="1779" w:y="76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四、净利润（净亏损以“－”号填列）</w:t>
      </w:r>
    </w:p>
    <w:p>
      <w:pPr>
        <w:framePr w:w="3830" w:x="1779" w:y="7668"/>
        <w:widowControl w:val="0"/>
        <w:autoSpaceDE w:val="0"/>
        <w:autoSpaceDN w:val="0"/>
        <w:spacing w:before="72" w:line="211" w:lineRule="exact"/>
        <w:ind w:left="24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（一）持续经营净利润（净亏损以</w:t>
      </w:r>
    </w:p>
    <w:p>
      <w:pPr>
        <w:framePr w:w="3830" w:x="1779" w:y="766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3535" w:x="1798" w:y="8506"/>
        <w:widowControl w:val="0"/>
        <w:autoSpaceDE w:val="0"/>
        <w:autoSpaceDN w:val="0"/>
        <w:spacing w:line="211" w:lineRule="exact"/>
        <w:ind w:left="22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（二）终止经营净利润（净亏损以</w:t>
      </w:r>
    </w:p>
    <w:p>
      <w:pPr>
        <w:framePr w:w="3535" w:x="1798" w:y="850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3576" w:x="1757" w:y="9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五、其他综合收益的税后净额</w:t>
      </w:r>
    </w:p>
    <w:p>
      <w:pPr>
        <w:framePr w:w="3576" w:x="1757" w:y="9061"/>
        <w:widowControl w:val="0"/>
        <w:autoSpaceDE w:val="0"/>
        <w:autoSpaceDN w:val="0"/>
        <w:spacing w:before="72" w:line="211" w:lineRule="exact"/>
        <w:ind w:left="25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（一）不能重分类进损益的其他综</w:t>
      </w:r>
    </w:p>
    <w:p>
      <w:pPr>
        <w:framePr w:w="3576" w:x="1757" w:y="9061"/>
        <w:widowControl w:val="0"/>
        <w:autoSpaceDE w:val="0"/>
        <w:autoSpaceDN w:val="0"/>
        <w:spacing w:before="60" w:line="211" w:lineRule="exact"/>
        <w:ind w:left="4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合收益</w:t>
      </w:r>
    </w:p>
    <w:p>
      <w:pPr>
        <w:framePr w:w="3394" w:x="1798" w:y="98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重新计量设定受益计划变动</w:t>
      </w:r>
    </w:p>
    <w:p>
      <w:pPr>
        <w:framePr w:w="3394" w:x="1798" w:y="989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3394" w:x="1798" w:y="1045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权益法下不能转损益的其他</w:t>
      </w:r>
    </w:p>
    <w:p>
      <w:pPr>
        <w:framePr w:w="3394" w:x="1798" w:y="1045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综合收益</w:t>
      </w:r>
    </w:p>
    <w:p>
      <w:pPr>
        <w:framePr w:w="3394" w:x="1798" w:y="1100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其他权益工具投资公允价值</w:t>
      </w:r>
    </w:p>
    <w:p>
      <w:pPr>
        <w:framePr w:w="3394" w:x="1798" w:y="1100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变动</w:t>
      </w:r>
    </w:p>
    <w:p>
      <w:pPr>
        <w:framePr w:w="3394" w:x="1798" w:y="115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企业自身信用风险公允价值</w:t>
      </w:r>
    </w:p>
    <w:p>
      <w:pPr>
        <w:framePr w:w="3394" w:x="1798" w:y="1156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变动</w:t>
      </w:r>
    </w:p>
    <w:p>
      <w:pPr>
        <w:framePr w:w="3535" w:x="1798" w:y="12116"/>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（二）将重分类进损益的其他综合</w:t>
      </w:r>
    </w:p>
    <w:p>
      <w:pPr>
        <w:framePr w:w="3535" w:x="1798" w:y="12116"/>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收益</w:t>
      </w:r>
    </w:p>
    <w:p>
      <w:pPr>
        <w:framePr w:w="3394" w:x="1798" w:y="1267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权益法下可转损益的其他综</w:t>
      </w:r>
    </w:p>
    <w:p>
      <w:pPr>
        <w:framePr w:w="3394" w:x="1798" w:y="1267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合收益</w:t>
      </w:r>
    </w:p>
    <w:p>
      <w:pPr>
        <w:framePr w:w="3394" w:x="1798" w:y="132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其他债权投资公允价值变动</w:t>
      </w:r>
    </w:p>
    <w:p>
      <w:pPr>
        <w:framePr w:w="3394" w:x="1798" w:y="13228"/>
        <w:widowControl w:val="0"/>
        <w:autoSpaceDE w:val="0"/>
        <w:autoSpaceDN w:val="0"/>
        <w:spacing w:before="70"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金融资产重分类计入其他综</w:t>
      </w:r>
    </w:p>
    <w:p>
      <w:pPr>
        <w:framePr w:w="3394" w:x="1798" w:y="1322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合收益的金额</w:t>
      </w:r>
    </w:p>
    <w:p>
      <w:pPr>
        <w:framePr w:w="2986" w:x="2218" w:y="140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其他债权投资信用减值准备</w:t>
      </w:r>
    </w:p>
    <w:p>
      <w:pPr>
        <w:framePr w:w="2986" w:x="2218" w:y="1406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现金流量套期储备</w:t>
      </w:r>
    </w:p>
    <w:p>
      <w:pPr>
        <w:framePr w:w="2986" w:x="2218" w:y="1406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外币财务报表折算差额</w:t>
      </w:r>
    </w:p>
    <w:p>
      <w:pPr>
        <w:framePr w:w="2986" w:x="2218" w:y="1406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1"/>
          <w:sz w:val="21"/>
          <w:szCs w:val="22"/>
          <w:lang w:val="en-US" w:eastAsia="en-US" w:bidi="ar-SA"/>
        </w:rPr>
        <w:t>其他</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98" type="#_x0000_t75" style="width:445.6pt;height:2.7pt;margin-top:53.65pt;margin-left:87.45pt;mso-position-horizontal-relative:page;mso-position-vertical-relative:page;position:absolute;z-index:-251408384">
            <v:imagedata r:id="rId149" o:title=""/>
          </v:shape>
        </w:pict>
      </w:r>
      <w:r>
        <w:rPr>
          <w:noProof/>
        </w:rPr>
        <w:pict>
          <v:shape id="_x0000_s1199" type="#_x0000_t75" style="width:454.95pt;height:684.9pt;margin-top:74.3pt;margin-left:83.25pt;mso-position-horizontal-relative:page;mso-position-vertical-relative:page;position:absolute;z-index:-251586560">
            <v:imagedata r:id="rId150" o:title=""/>
          </v:shape>
        </w:pict>
      </w:r>
    </w:p>
    <w:p>
      <w:pPr>
        <w:spacing w:line="0" w:lineRule="atLeast"/>
        <w:rPr>
          <w:rFonts w:ascii="Arial" w:eastAsiaTheme="minorEastAsia" w:hAnsiTheme="minorHAnsi" w:cstheme="minorBidi"/>
          <w:color w:val="FF0000"/>
          <w:sz w:val="2"/>
          <w:szCs w:val="22"/>
          <w:lang w:val="en-US" w:eastAsia="en-US" w:bidi="ar-SA"/>
        </w:rPr>
      </w:pPr>
      <w:bookmarkStart w:id="71" w:name="br1_70"/>
      <w:bookmarkEnd w:id="7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944" w:x="1757" w:y="1547"/>
        <w:widowControl w:val="0"/>
        <w:autoSpaceDE w:val="0"/>
        <w:autoSpaceDN w:val="0"/>
        <w:spacing w:line="211" w:lineRule="exact"/>
        <w:ind w:left="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六、综合收益总额</w:t>
      </w:r>
    </w:p>
    <w:p>
      <w:pPr>
        <w:framePr w:w="1944" w:x="1757"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七、每股收益：</w:t>
      </w:r>
    </w:p>
    <w:p>
      <w:pPr>
        <w:framePr w:w="1613" w:x="724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65,340,403.25</w:t>
      </w:r>
    </w:p>
    <w:p>
      <w:pPr>
        <w:framePr w:w="1718" w:x="9160"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185,031,415.70</w:t>
      </w:r>
    </w:p>
    <w:p>
      <w:pPr>
        <w:framePr w:w="2880" w:x="2199"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（一）基本每股收益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股</w:t>
      </w:r>
      <w:r>
        <w:rPr>
          <w:rFonts w:ascii="SimSun" w:eastAsiaTheme="minorEastAsia" w:hAnsiTheme="minorHAnsi" w:cstheme="minorBidi"/>
          <w:color w:val="000000"/>
          <w:sz w:val="21"/>
          <w:szCs w:val="22"/>
          <w:lang w:val="en-US" w:eastAsia="en-US" w:bidi="ar-SA"/>
        </w:rPr>
        <w:t>)</w:t>
      </w:r>
    </w:p>
    <w:p>
      <w:pPr>
        <w:framePr w:w="2880" w:x="2199"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（二）稀释每股收益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股</w:t>
      </w:r>
      <w:r>
        <w:rPr>
          <w:rFonts w:ascii="SimSun" w:eastAsiaTheme="minorEastAsia" w:hAnsiTheme="minorHAnsi" w:cstheme="minorBidi"/>
          <w:color w:val="000000"/>
          <w:sz w:val="21"/>
          <w:szCs w:val="22"/>
          <w:lang w:val="en-US" w:eastAsia="en-US" w:bidi="ar-SA"/>
        </w:rPr>
        <w:t>)</w:t>
      </w:r>
    </w:p>
    <w:p>
      <w:pPr>
        <w:framePr w:w="2141" w:x="1798" w:y="2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635" w:y="2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8310" w:y="2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718" w:x="5475" w:y="40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合并现金流量表</w:t>
      </w:r>
    </w:p>
    <w:p>
      <w:pPr>
        <w:framePr w:w="1764" w:x="5454" w:y="4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p>
    <w:p>
      <w:pPr>
        <w:framePr w:w="2554" w:x="8320" w:y="45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3305" w:y="4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5658" w:y="4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附注</w:t>
      </w:r>
    </w:p>
    <w:p>
      <w:pPr>
        <w:framePr w:w="1930" w:x="6786" w:y="4864"/>
        <w:widowControl w:val="0"/>
        <w:autoSpaceDE w:val="0"/>
        <w:autoSpaceDN w:val="0"/>
        <w:spacing w:line="211" w:lineRule="exact"/>
        <w:ind w:left="278"/>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年度</w:t>
      </w:r>
    </w:p>
    <w:p>
      <w:pPr>
        <w:framePr w:w="1930" w:x="6786" w:y="4864"/>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1,741,754,097.02</w:t>
      </w:r>
    </w:p>
    <w:p>
      <w:pPr>
        <w:framePr w:w="1085" w:x="9235" w:y="4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pacing w:val="1"/>
          <w:sz w:val="21"/>
          <w:szCs w:val="22"/>
          <w:lang w:val="en-US" w:eastAsia="en-US" w:bidi="ar-SA"/>
        </w:rPr>
        <w:t>年度</w:t>
      </w:r>
    </w:p>
    <w:p>
      <w:pPr>
        <w:framePr w:w="3605" w:x="1798" w:y="51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一、经营活动产生的现金流量：</w:t>
      </w:r>
    </w:p>
    <w:p>
      <w:pPr>
        <w:framePr w:w="3605" w:x="1798" w:y="5148"/>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销售商品、提供劳务收到的现金</w:t>
      </w:r>
    </w:p>
    <w:p>
      <w:pPr>
        <w:framePr w:w="3605" w:x="1798" w:y="5148"/>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客户存款和同业存放款项净增加额</w:t>
      </w:r>
    </w:p>
    <w:p>
      <w:pPr>
        <w:framePr w:w="3605" w:x="1798" w:y="5148"/>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向中央银行借款净增加额</w:t>
      </w:r>
    </w:p>
    <w:p>
      <w:pPr>
        <w:framePr w:w="3605" w:x="1798" w:y="5148"/>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向其他金融机构拆入资金净增加额</w:t>
      </w:r>
    </w:p>
    <w:p>
      <w:pPr>
        <w:framePr w:w="3605" w:x="1798" w:y="5148"/>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收到原保险合同保费取得的现金</w:t>
      </w:r>
    </w:p>
    <w:p>
      <w:pPr>
        <w:framePr w:w="3605" w:x="1798" w:y="5148"/>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收到再保业务现金净额</w:t>
      </w:r>
    </w:p>
    <w:p>
      <w:pPr>
        <w:framePr w:w="1930" w:x="8954" w:y="54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1,584,874,514.05</w:t>
      </w:r>
    </w:p>
    <w:p>
      <w:pPr>
        <w:framePr w:w="3197" w:x="2009" w:y="71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保户储金及投资款净增加额</w:t>
      </w:r>
    </w:p>
    <w:p>
      <w:pPr>
        <w:framePr w:w="3197" w:x="2009" w:y="712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收取利息、手续费及佣金的现金</w:t>
      </w:r>
    </w:p>
    <w:p>
      <w:pPr>
        <w:framePr w:w="3197" w:x="2009" w:y="712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拆入资金净增加额</w:t>
      </w:r>
    </w:p>
    <w:p>
      <w:pPr>
        <w:framePr w:w="2352" w:x="2009" w:y="79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回购业务资金净增加额</w:t>
      </w:r>
    </w:p>
    <w:p>
      <w:pPr>
        <w:framePr w:w="2986" w:x="2009" w:y="82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代理买卖证券收到的现金净额</w:t>
      </w:r>
    </w:p>
    <w:p>
      <w:pPr>
        <w:framePr w:w="2986" w:x="2009" w:y="82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收到的税费返还</w:t>
      </w:r>
    </w:p>
    <w:p>
      <w:pPr>
        <w:framePr w:w="1613" w:x="7101" w:y="85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62,409,437.12</w:t>
      </w:r>
    </w:p>
    <w:p>
      <w:pPr>
        <w:framePr w:w="1613" w:x="7101" w:y="853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7,875,588.21</w:t>
      </w:r>
    </w:p>
    <w:p>
      <w:pPr>
        <w:framePr w:w="1613" w:x="9268" w:y="85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67,924,067.11</w:t>
      </w:r>
    </w:p>
    <w:p>
      <w:pPr>
        <w:framePr w:w="1613" w:x="9268" w:y="853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32,286,364.03</w:t>
      </w:r>
    </w:p>
    <w:p>
      <w:pPr>
        <w:framePr w:w="3197" w:x="2009" w:y="8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收到其他与经营活动有关的现金</w:t>
      </w:r>
    </w:p>
    <w:p>
      <w:pPr>
        <w:framePr w:w="3197" w:x="2009" w:y="8818"/>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经营活动现金流入小计</w:t>
      </w:r>
    </w:p>
    <w:p>
      <w:pPr>
        <w:framePr w:w="1402" w:x="5449" w:y="8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210"/>
          <w:sz w:val="21"/>
          <w:szCs w:val="22"/>
          <w:lang w:val="en-US" w:eastAsia="en-US" w:bidi="ar-SA"/>
        </w:rPr>
        <w:t>（</w:t>
      </w:r>
      <w:r>
        <w:rPr>
          <w:rFonts w:ascii="SimSun" w:eastAsiaTheme="minorEastAsia" w:hAnsiTheme="minorHAnsi" w:cstheme="minorBidi"/>
          <w:color w:val="000000"/>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z w:val="21"/>
          <w:szCs w:val="22"/>
          <w:lang w:val="en-US" w:eastAsia="en-US" w:bidi="ar-SA"/>
        </w:rPr>
        <w:t>）</w:t>
      </w:r>
    </w:p>
    <w:p>
      <w:pPr>
        <w:framePr w:w="1930" w:x="6786" w:y="91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1,812,039,122.35</w:t>
      </w:r>
    </w:p>
    <w:p>
      <w:pPr>
        <w:framePr w:w="1930" w:x="6786" w:y="910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1,053,688,240.00</w:t>
      </w:r>
    </w:p>
    <w:p>
      <w:pPr>
        <w:framePr w:w="1930" w:x="8954" w:y="91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1,685,084,945.19</w:t>
      </w:r>
    </w:p>
    <w:p>
      <w:pPr>
        <w:framePr w:w="1930" w:x="8954" w:y="9101"/>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868,822,986.17</w:t>
      </w:r>
    </w:p>
    <w:p>
      <w:pPr>
        <w:framePr w:w="3408" w:x="2009" w:y="93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购买商品、接受劳务支付的现金</w:t>
      </w:r>
    </w:p>
    <w:p>
      <w:pPr>
        <w:framePr w:w="3408" w:x="2009" w:y="93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客户贷款及垫款净增加额</w:t>
      </w:r>
    </w:p>
    <w:p>
      <w:pPr>
        <w:framePr w:w="3408" w:x="2009" w:y="93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存放中央银行和同业款项净增加额</w:t>
      </w:r>
    </w:p>
    <w:p>
      <w:pPr>
        <w:framePr w:w="3408" w:x="2009" w:y="938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支付原保险合同赔付款项的现金</w:t>
      </w:r>
    </w:p>
    <w:p>
      <w:pPr>
        <w:framePr w:w="3408" w:x="2009" w:y="93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拆出资金净增加额</w:t>
      </w:r>
    </w:p>
    <w:p>
      <w:pPr>
        <w:framePr w:w="3197" w:x="2009" w:y="107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支付利息、手续费及佣金的现金</w:t>
      </w:r>
    </w:p>
    <w:p>
      <w:pPr>
        <w:framePr w:w="3197" w:x="2009" w:y="1079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支付保单红利的现金</w:t>
      </w:r>
    </w:p>
    <w:p>
      <w:pPr>
        <w:framePr w:w="3197" w:x="2009" w:y="11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支付给职工及为职工支付的现金</w:t>
      </w:r>
    </w:p>
    <w:p>
      <w:pPr>
        <w:framePr w:w="3197" w:x="2009" w:y="1136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支付的各项税费</w:t>
      </w:r>
    </w:p>
    <w:p>
      <w:pPr>
        <w:framePr w:w="1718" w:x="6995" w:y="113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141,643,961.97</w:t>
      </w:r>
    </w:p>
    <w:p>
      <w:pPr>
        <w:framePr w:w="1718" w:x="6995" w:y="1136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46,869,914.32</w:t>
      </w:r>
    </w:p>
    <w:p>
      <w:pPr>
        <w:framePr w:w="1718" w:x="9163" w:y="113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122,141,189.37</w:t>
      </w:r>
    </w:p>
    <w:p>
      <w:pPr>
        <w:framePr w:w="1718" w:x="9163" w:y="1136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33,371,334.59</w:t>
      </w:r>
    </w:p>
    <w:p>
      <w:pPr>
        <w:framePr w:w="3197" w:x="2009" w:y="11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支付其他与经营活动有关的现金</w:t>
      </w:r>
    </w:p>
    <w:p>
      <w:pPr>
        <w:framePr w:w="3197" w:x="2009" w:y="11924"/>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经营活动现金流出小计</w:t>
      </w:r>
    </w:p>
    <w:p>
      <w:pPr>
        <w:framePr w:w="1402" w:x="5449" w:y="11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210"/>
          <w:sz w:val="21"/>
          <w:szCs w:val="22"/>
          <w:lang w:val="en-US" w:eastAsia="en-US" w:bidi="ar-SA"/>
        </w:rPr>
        <w:t>（</w:t>
      </w:r>
      <w:r>
        <w:rPr>
          <w:rFonts w:ascii="SimSun" w:eastAsiaTheme="minorEastAsia" w:hAnsiTheme="minorHAnsi" w:cstheme="minorBidi"/>
          <w:color w:val="000000"/>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w:t>
      </w:r>
    </w:p>
    <w:p>
      <w:pPr>
        <w:framePr w:w="1930" w:x="6786" w:y="11924"/>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208,451,459.34</w:t>
      </w:r>
    </w:p>
    <w:p>
      <w:pPr>
        <w:framePr w:w="1930" w:x="6786" w:y="1192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1,450,653,575.63</w:t>
      </w:r>
    </w:p>
    <w:p>
      <w:pPr>
        <w:framePr w:w="1930" w:x="6786" w:y="11924"/>
        <w:widowControl w:val="0"/>
        <w:autoSpaceDE w:val="0"/>
        <w:autoSpaceDN w:val="0"/>
        <w:spacing w:before="73"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361,385,546.72</w:t>
      </w:r>
    </w:p>
    <w:p>
      <w:pPr>
        <w:framePr w:w="1930" w:x="8954" w:y="11924"/>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261,186,511.30</w:t>
      </w:r>
    </w:p>
    <w:p>
      <w:pPr>
        <w:framePr w:w="1930" w:x="8954" w:y="1192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1,285,522,021.43</w:t>
      </w:r>
    </w:p>
    <w:p>
      <w:pPr>
        <w:framePr w:w="1930" w:x="8954" w:y="11924"/>
        <w:widowControl w:val="0"/>
        <w:autoSpaceDE w:val="0"/>
        <w:autoSpaceDN w:val="0"/>
        <w:spacing w:before="73"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399,562,923.76</w:t>
      </w:r>
    </w:p>
    <w:p>
      <w:pPr>
        <w:framePr w:w="3605" w:x="1798" w:y="12491"/>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3605" w:x="1798" w:y="1249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二、投资活动产生的现金流量：</w:t>
      </w:r>
    </w:p>
    <w:p>
      <w:pPr>
        <w:framePr w:w="3605" w:x="1798" w:y="12491"/>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收回投资收到的现金</w:t>
      </w:r>
    </w:p>
    <w:p>
      <w:pPr>
        <w:framePr w:w="1930" w:x="6786" w:y="130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2,762,309,064.00</w:t>
      </w:r>
    </w:p>
    <w:p>
      <w:pPr>
        <w:framePr w:w="1930" w:x="6786" w:y="13055"/>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8,449,731.93</w:t>
      </w:r>
    </w:p>
    <w:p>
      <w:pPr>
        <w:framePr w:w="1930" w:x="6786" w:y="13055"/>
        <w:widowControl w:val="0"/>
        <w:autoSpaceDE w:val="0"/>
        <w:autoSpaceDN w:val="0"/>
        <w:spacing w:before="72"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884,122.68</w:t>
      </w:r>
    </w:p>
    <w:p>
      <w:pPr>
        <w:framePr w:w="1930" w:x="8954" w:y="130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2,860,390,000.00</w:t>
      </w:r>
    </w:p>
    <w:p>
      <w:pPr>
        <w:framePr w:w="1930" w:x="8954" w:y="13055"/>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7,550,079.49</w:t>
      </w:r>
    </w:p>
    <w:p>
      <w:pPr>
        <w:framePr w:w="1930" w:x="8954" w:y="13055"/>
        <w:widowControl w:val="0"/>
        <w:autoSpaceDE w:val="0"/>
        <w:autoSpaceDN w:val="0"/>
        <w:spacing w:before="72"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244,198.94</w:t>
      </w:r>
    </w:p>
    <w:p>
      <w:pPr>
        <w:framePr w:w="3605" w:x="1798" w:y="13336"/>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取得投资收益收到的现金</w:t>
      </w:r>
    </w:p>
    <w:p>
      <w:pPr>
        <w:framePr w:w="3605" w:x="1798" w:y="13336"/>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处置固定资产、无形资产和其他长</w:t>
      </w:r>
    </w:p>
    <w:p>
      <w:pPr>
        <w:framePr w:w="3605" w:x="1798" w:y="1333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期资产收回的现金净额</w:t>
      </w:r>
    </w:p>
    <w:p>
      <w:pPr>
        <w:framePr w:w="3605" w:x="1798" w:y="14173"/>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处置子公司及其他营业单位收到的</w:t>
      </w:r>
    </w:p>
    <w:p>
      <w:pPr>
        <w:framePr w:w="3605" w:x="1798" w:y="141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现金净额</w:t>
      </w:r>
    </w:p>
    <w:p>
      <w:pPr>
        <w:framePr w:w="3197" w:x="2009" w:y="147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收到其他与投资活动有关的现金</w:t>
      </w:r>
    </w:p>
    <w:p>
      <w:pPr>
        <w:framePr w:w="3197" w:x="2009" w:y="14728"/>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投资活动现金流入小计</w:t>
      </w:r>
    </w:p>
    <w:p>
      <w:pPr>
        <w:framePr w:w="1930" w:x="6786" w:y="150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2,771,642,918.61</w:t>
      </w:r>
    </w:p>
    <w:p>
      <w:pPr>
        <w:framePr w:w="1930" w:x="8954" w:y="150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2,868,184,278.43</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00" type="#_x0000_t75" style="width:445.6pt;height:2.7pt;margin-top:53.65pt;margin-left:87.45pt;mso-position-horizontal-relative:page;mso-position-vertical-relative:page;position:absolute;z-index:-251288576">
            <v:imagedata r:id="rId151" o:title=""/>
          </v:shape>
        </w:pict>
      </w:r>
      <w:r>
        <w:rPr>
          <w:noProof/>
        </w:rPr>
        <w:pict>
          <v:shape id="_x0000_s1201" type="#_x0000_t75" style="width:454.95pt;height:59pt;margin-top:74.3pt;margin-left:83.25pt;mso-position-horizontal-relative:page;mso-position-vertical-relative:page;position:absolute;z-index:-251407360">
            <v:imagedata r:id="rId152" o:title=""/>
          </v:shape>
        </w:pict>
      </w:r>
      <w:r>
        <w:rPr>
          <w:noProof/>
        </w:rPr>
        <w:pict>
          <v:shape id="_x0000_s1202" type="#_x0000_t75" style="width:454.95pt;height:523.95pt;margin-top:240.25pt;margin-left:83.25pt;mso-position-horizontal-relative:page;mso-position-vertical-relative:page;position:absolute;z-index:-251585536">
            <v:imagedata r:id="rId153" o:title=""/>
          </v:shape>
        </w:pict>
      </w:r>
    </w:p>
    <w:p>
      <w:pPr>
        <w:spacing w:line="0" w:lineRule="atLeast"/>
        <w:rPr>
          <w:rFonts w:ascii="Arial" w:eastAsiaTheme="minorEastAsia" w:hAnsiTheme="minorHAnsi" w:cstheme="minorBidi"/>
          <w:color w:val="FF0000"/>
          <w:sz w:val="2"/>
          <w:szCs w:val="22"/>
          <w:lang w:val="en-US" w:eastAsia="en-US" w:bidi="ar-SA"/>
        </w:rPr>
      </w:pPr>
      <w:bookmarkStart w:id="72" w:name="br1_71"/>
      <w:bookmarkEnd w:id="7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605" w:x="1798" w:y="1547"/>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购建固定资产、无形资产和其他长</w:t>
      </w:r>
    </w:p>
    <w:p>
      <w:pPr>
        <w:framePr w:w="3605" w:x="1798" w:y="154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期资产支付的现金</w:t>
      </w:r>
    </w:p>
    <w:p>
      <w:pPr>
        <w:framePr w:w="1718" w:x="6995"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129,190,953.24</w:t>
      </w:r>
    </w:p>
    <w:p>
      <w:pPr>
        <w:framePr w:w="1718" w:x="9163"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335,610,743.27</w:t>
      </w:r>
    </w:p>
    <w:p>
      <w:pPr>
        <w:framePr w:w="1718" w:x="2009"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投资支付的现金</w:t>
      </w:r>
    </w:p>
    <w:p>
      <w:pPr>
        <w:framePr w:w="1930" w:x="6786"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2,776,609,064.00</w:t>
      </w:r>
    </w:p>
    <w:p>
      <w:pPr>
        <w:framePr w:w="1930" w:x="8954"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2,895,590,000.00</w:t>
      </w:r>
    </w:p>
    <w:p>
      <w:pPr>
        <w:framePr w:w="1930" w:x="2009" w:y="2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质押贷款净增加额</w:t>
      </w:r>
    </w:p>
    <w:p>
      <w:pPr>
        <w:framePr w:w="3605" w:x="1798" w:y="2666"/>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取得子公司及其他营业单位支付的</w:t>
      </w:r>
    </w:p>
    <w:p>
      <w:pPr>
        <w:framePr w:w="3605" w:x="1798" w:y="266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现金净额</w:t>
      </w:r>
    </w:p>
    <w:p>
      <w:pPr>
        <w:framePr w:w="3605" w:x="1798" w:y="3220"/>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支付其他与投资活动有关的现金</w:t>
      </w:r>
    </w:p>
    <w:p>
      <w:pPr>
        <w:framePr w:w="3605" w:x="1798" w:y="3220"/>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投资活动现金流出小计</w:t>
      </w:r>
    </w:p>
    <w:p>
      <w:pPr>
        <w:framePr w:w="3605" w:x="1798" w:y="3220"/>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投资活动产生的现金流量净额</w:t>
      </w:r>
    </w:p>
    <w:p>
      <w:pPr>
        <w:framePr w:w="3605" w:x="1798" w:y="322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三、筹资活动产生的现金流量：</w:t>
      </w:r>
    </w:p>
    <w:p>
      <w:pPr>
        <w:framePr w:w="3605" w:x="1798" w:y="3220"/>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吸收投资收到的现金</w:t>
      </w:r>
    </w:p>
    <w:p>
      <w:pPr>
        <w:framePr w:w="1930" w:x="6786" w:y="35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2,905,800,017.24</w:t>
      </w:r>
    </w:p>
    <w:p>
      <w:pPr>
        <w:framePr w:w="1930" w:x="6786" w:y="350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-134,157,098.63</w:t>
      </w:r>
    </w:p>
    <w:p>
      <w:pPr>
        <w:framePr w:w="1930" w:x="8954" w:y="35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3,231,200,743.27</w:t>
      </w:r>
    </w:p>
    <w:p>
      <w:pPr>
        <w:framePr w:w="1930" w:x="8954" w:y="350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-363,016,464.84</w:t>
      </w:r>
    </w:p>
    <w:p>
      <w:pPr>
        <w:framePr w:w="1613" w:x="7101" w:y="43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1613" w:x="7101" w:y="4351"/>
        <w:widowControl w:val="0"/>
        <w:autoSpaceDE w:val="0"/>
        <w:autoSpaceDN w:val="0"/>
        <w:spacing w:before="625"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3605" w:x="1798" w:y="4632"/>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其中：子公司吸收少数股东投资收</w:t>
      </w:r>
    </w:p>
    <w:p>
      <w:pPr>
        <w:framePr w:w="3605" w:x="1798" w:y="463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到的现金</w:t>
      </w:r>
    </w:p>
    <w:p>
      <w:pPr>
        <w:framePr w:w="2141" w:x="2009" w:y="51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取得借款收到的现金</w:t>
      </w:r>
    </w:p>
    <w:p>
      <w:pPr>
        <w:framePr w:w="1718" w:x="9163" w:y="51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210,000,000.00</w:t>
      </w:r>
    </w:p>
    <w:p>
      <w:pPr>
        <w:framePr w:w="1718" w:x="9163" w:y="5187"/>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103,380.49</w:t>
      </w:r>
    </w:p>
    <w:p>
      <w:pPr>
        <w:framePr w:w="3197" w:x="2009" w:y="54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收到其他与筹资活动有关的现金</w:t>
      </w:r>
    </w:p>
    <w:p>
      <w:pPr>
        <w:framePr w:w="3197" w:x="2009" w:y="5470"/>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筹资活动现金流入小计</w:t>
      </w:r>
    </w:p>
    <w:p>
      <w:pPr>
        <w:framePr w:w="3197" w:x="2009" w:y="547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偿还债务支付的现金</w:t>
      </w:r>
    </w:p>
    <w:p>
      <w:pPr>
        <w:framePr w:w="1402" w:x="5449" w:y="54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210"/>
          <w:sz w:val="21"/>
          <w:szCs w:val="22"/>
          <w:lang w:val="en-US" w:eastAsia="en-US" w:bidi="ar-SA"/>
        </w:rPr>
        <w:t>（</w:t>
      </w:r>
      <w:r>
        <w:rPr>
          <w:rFonts w:ascii="SimSun" w:eastAsiaTheme="minorEastAsia" w:hAnsiTheme="minorHAnsi" w:cstheme="minorBidi"/>
          <w:color w:val="000000"/>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5</w:t>
      </w:r>
      <w:r>
        <w:rPr>
          <w:rFonts w:ascii="SimSun" w:hAnsi="SimSun" w:eastAsiaTheme="minorEastAsia" w:cs="SimSun"/>
          <w:color w:val="000000"/>
          <w:sz w:val="21"/>
          <w:szCs w:val="22"/>
          <w:lang w:val="en-US" w:eastAsia="en-US" w:bidi="ar-SA"/>
        </w:rPr>
        <w:t>）</w:t>
      </w:r>
    </w:p>
    <w:p>
      <w:pPr>
        <w:framePr w:w="1402" w:x="5449" w:y="5470"/>
        <w:widowControl w:val="0"/>
        <w:autoSpaceDE w:val="0"/>
        <w:autoSpaceDN w:val="0"/>
        <w:spacing w:before="174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210"/>
          <w:sz w:val="21"/>
          <w:szCs w:val="22"/>
          <w:lang w:val="en-US" w:eastAsia="en-US" w:bidi="ar-SA"/>
        </w:rPr>
        <w:t>（</w:t>
      </w:r>
      <w:r>
        <w:rPr>
          <w:rFonts w:ascii="SimSun" w:eastAsiaTheme="minorEastAsia" w:hAnsiTheme="minorHAnsi" w:cstheme="minorBidi"/>
          <w:color w:val="000000"/>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6</w:t>
      </w:r>
      <w:r>
        <w:rPr>
          <w:rFonts w:ascii="SimSun" w:hAnsi="SimSun" w:eastAsiaTheme="minorEastAsia" w:cs="SimSun"/>
          <w:color w:val="000000"/>
          <w:sz w:val="21"/>
          <w:szCs w:val="22"/>
          <w:lang w:val="en-US" w:eastAsia="en-US" w:bidi="ar-SA"/>
        </w:rPr>
        <w:t>）</w:t>
      </w:r>
    </w:p>
    <w:p>
      <w:pPr>
        <w:framePr w:w="1718" w:x="6995" w:y="575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33,367,900.00</w:t>
      </w:r>
    </w:p>
    <w:p>
      <w:pPr>
        <w:framePr w:w="1718" w:x="6995" w:y="575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210,000,000.00</w:t>
      </w:r>
    </w:p>
    <w:p>
      <w:pPr>
        <w:framePr w:w="1718" w:x="6995" w:y="575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39,644,296.26</w:t>
      </w:r>
    </w:p>
    <w:p>
      <w:pPr>
        <w:framePr w:w="1718" w:x="9163" w:y="57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210,103,380.49</w:t>
      </w:r>
    </w:p>
    <w:p>
      <w:pPr>
        <w:framePr w:w="1718" w:x="9163" w:y="575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40,000,000.00</w:t>
      </w:r>
    </w:p>
    <w:p>
      <w:pPr>
        <w:framePr w:w="1718" w:x="9163" w:y="5753"/>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1,387,831.27</w:t>
      </w:r>
    </w:p>
    <w:p>
      <w:pPr>
        <w:framePr w:w="3605" w:x="1798" w:y="6317"/>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分配股利、利润或偿付利息支付的</w:t>
      </w:r>
    </w:p>
    <w:p>
      <w:pPr>
        <w:framePr w:w="3605" w:x="1798" w:y="63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现金</w:t>
      </w:r>
    </w:p>
    <w:p>
      <w:pPr>
        <w:framePr w:w="3605" w:x="1798" w:y="6871"/>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其中：子公司支付给少数股东的股</w:t>
      </w:r>
    </w:p>
    <w:p>
      <w:pPr>
        <w:framePr w:w="3605" w:x="1798" w:y="687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利、利润</w:t>
      </w:r>
    </w:p>
    <w:p>
      <w:pPr>
        <w:framePr w:w="3619" w:x="1798" w:y="7426"/>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支付其他与筹资活动有关的现金</w:t>
      </w:r>
    </w:p>
    <w:p>
      <w:pPr>
        <w:framePr w:w="3619" w:x="1798" w:y="7426"/>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筹资活动现金流出小计</w:t>
      </w:r>
    </w:p>
    <w:p>
      <w:pPr>
        <w:framePr w:w="3619" w:x="1798" w:y="7426"/>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筹资活动产生的现金流量净额</w:t>
      </w:r>
    </w:p>
    <w:p>
      <w:pPr>
        <w:framePr w:w="3619" w:x="1798" w:y="742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四、汇率变动对现金及现金等价物的</w:t>
      </w:r>
    </w:p>
    <w:p>
      <w:pPr>
        <w:framePr w:w="3619" w:x="1798" w:y="742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影响</w:t>
      </w:r>
    </w:p>
    <w:p>
      <w:pPr>
        <w:framePr w:w="1824" w:x="6892" w:y="7426"/>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19,356,770.88</w:t>
      </w:r>
    </w:p>
    <w:p>
      <w:pPr>
        <w:framePr w:w="1824" w:x="6892" w:y="7426"/>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269,001,067.14</w:t>
      </w:r>
    </w:p>
    <w:p>
      <w:pPr>
        <w:framePr w:w="1824" w:x="6892" w:y="742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-235,633,167.14</w:t>
      </w:r>
    </w:p>
    <w:p>
      <w:pPr>
        <w:framePr w:w="1824" w:x="6892" w:y="7426"/>
        <w:widowControl w:val="0"/>
        <w:autoSpaceDE w:val="0"/>
        <w:autoSpaceDN w:val="0"/>
        <w:spacing w:before="70"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-22,652,265.46</w:t>
      </w:r>
    </w:p>
    <w:p>
      <w:pPr>
        <w:framePr w:w="1718" w:x="9163" w:y="7426"/>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91,114,742.99</w:t>
      </w:r>
    </w:p>
    <w:p>
      <w:pPr>
        <w:framePr w:w="1718" w:x="9163" w:y="742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132,502,574.26</w:t>
      </w:r>
    </w:p>
    <w:p>
      <w:pPr>
        <w:framePr w:w="1718" w:x="9163" w:y="742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77,600,806.23</w:t>
      </w:r>
    </w:p>
    <w:p>
      <w:pPr>
        <w:framePr w:w="1718" w:x="9163" w:y="7426"/>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6,221,462.28</w:t>
      </w:r>
    </w:p>
    <w:p>
      <w:pPr>
        <w:framePr w:w="3396" w:x="1798" w:y="8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五、现金及现金等价物净增加额</w:t>
      </w:r>
    </w:p>
    <w:p>
      <w:pPr>
        <w:framePr w:w="3396" w:x="1798" w:y="8828"/>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加：期初现金及现金等价物余额</w:t>
      </w:r>
    </w:p>
    <w:p>
      <w:pPr>
        <w:framePr w:w="3396" w:x="1798" w:y="882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六、期末现金及现金等价物余额</w:t>
      </w:r>
    </w:p>
    <w:p>
      <w:pPr>
        <w:framePr w:w="1718" w:x="6995" w:y="88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-31,056,984.51</w:t>
      </w:r>
    </w:p>
    <w:p>
      <w:pPr>
        <w:framePr w:w="1718" w:x="6995" w:y="88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1718" w:x="6995" w:y="88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332,190,165.92</w:t>
      </w:r>
    </w:p>
    <w:p>
      <w:pPr>
        <w:framePr w:w="1718" w:x="9163" w:y="88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120,368,727.43</w:t>
      </w:r>
    </w:p>
    <w:p>
      <w:pPr>
        <w:framePr w:w="1718" w:x="9163" w:y="88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242,878,423.00</w:t>
      </w:r>
    </w:p>
    <w:p>
      <w:pPr>
        <w:framePr w:w="1718" w:x="9163" w:y="88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2141" w:x="1798" w:y="9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530" w:y="9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8205" w:y="9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930" w:x="5370" w:y="10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母公司现金流量表</w:t>
      </w:r>
    </w:p>
    <w:p>
      <w:pPr>
        <w:framePr w:w="1764" w:x="5454" w:y="110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p>
    <w:p>
      <w:pPr>
        <w:framePr w:w="2343" w:x="8531" w:y="113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343" w:x="8531" w:y="11309"/>
        <w:widowControl w:val="0"/>
        <w:autoSpaceDE w:val="0"/>
        <w:autoSpaceDN w:val="0"/>
        <w:spacing w:before="72" w:line="211" w:lineRule="exact"/>
        <w:ind w:left="70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pacing w:val="1"/>
          <w:sz w:val="21"/>
          <w:szCs w:val="22"/>
          <w:lang w:val="en-US" w:eastAsia="en-US" w:bidi="ar-SA"/>
        </w:rPr>
        <w:t>年度</w:t>
      </w:r>
    </w:p>
    <w:p>
      <w:pPr>
        <w:framePr w:w="662" w:x="3233" w:y="11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5591" w:y="11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附注</w:t>
      </w:r>
    </w:p>
    <w:p>
      <w:pPr>
        <w:framePr w:w="1085" w:x="7067" w:y="11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年度</w:t>
      </w:r>
    </w:p>
    <w:p>
      <w:pPr>
        <w:framePr w:w="3396" w:x="1798" w:y="11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一、经营活动产生的现金流量：</w:t>
      </w:r>
    </w:p>
    <w:p>
      <w:pPr>
        <w:framePr w:w="3396" w:x="1798" w:y="1187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销售商品、提供劳务收到的现金</w:t>
      </w:r>
    </w:p>
    <w:p>
      <w:pPr>
        <w:framePr w:w="3396" w:x="1798" w:y="11873"/>
        <w:widowControl w:val="0"/>
        <w:autoSpaceDE w:val="0"/>
        <w:autoSpaceDN w:val="0"/>
        <w:spacing w:before="73"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收到的税费返还</w:t>
      </w:r>
    </w:p>
    <w:p>
      <w:pPr>
        <w:framePr w:w="1930" w:x="6789" w:y="121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1,171,708,636.92</w:t>
      </w:r>
    </w:p>
    <w:p>
      <w:pPr>
        <w:framePr w:w="1930" w:x="8952" w:y="121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1,202,449,476.03</w:t>
      </w:r>
    </w:p>
    <w:p>
      <w:pPr>
        <w:framePr w:w="1930" w:x="8952" w:y="12157"/>
        <w:widowControl w:val="0"/>
        <w:autoSpaceDE w:val="0"/>
        <w:autoSpaceDN w:val="0"/>
        <w:spacing w:before="73"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61,986,734.65</w:t>
      </w:r>
    </w:p>
    <w:p>
      <w:pPr>
        <w:framePr w:w="1930" w:x="8952" w:y="12157"/>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4,746,398.43</w:t>
      </w:r>
    </w:p>
    <w:p>
      <w:pPr>
        <w:framePr w:w="1613" w:x="7103" w:y="124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44,135,526.59</w:t>
      </w:r>
    </w:p>
    <w:p>
      <w:pPr>
        <w:framePr w:w="1613" w:x="7103" w:y="12440"/>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5,179,354.18</w:t>
      </w:r>
    </w:p>
    <w:p>
      <w:pPr>
        <w:framePr w:w="3197" w:x="2009" w:y="127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收到其他与经营活动有关的现金</w:t>
      </w:r>
    </w:p>
    <w:p>
      <w:pPr>
        <w:framePr w:w="3197" w:x="2009" w:y="12721"/>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经营活动现金流入小计</w:t>
      </w:r>
    </w:p>
    <w:p>
      <w:pPr>
        <w:framePr w:w="1930" w:x="6789" w:y="130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1,221,023,517.69</w:t>
      </w:r>
    </w:p>
    <w:p>
      <w:pPr>
        <w:framePr w:w="1930" w:x="6789" w:y="13004"/>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969,702,059.46</w:t>
      </w:r>
    </w:p>
    <w:p>
      <w:pPr>
        <w:framePr w:w="1930" w:x="6789" w:y="13004"/>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44,015,226.85</w:t>
      </w:r>
    </w:p>
    <w:p>
      <w:pPr>
        <w:framePr w:w="1930" w:x="6789" w:y="13004"/>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13,157,561.66</w:t>
      </w:r>
    </w:p>
    <w:p>
      <w:pPr>
        <w:framePr w:w="1930" w:x="6789" w:y="13004"/>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70,012,369.14</w:t>
      </w:r>
    </w:p>
    <w:p>
      <w:pPr>
        <w:framePr w:w="1930" w:x="6789" w:y="1300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1,096,887,217.11</w:t>
      </w:r>
    </w:p>
    <w:p>
      <w:pPr>
        <w:framePr w:w="1930" w:x="6789" w:y="13004"/>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124,136,300.58</w:t>
      </w:r>
    </w:p>
    <w:p>
      <w:pPr>
        <w:framePr w:w="1930" w:x="8952" w:y="130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1,269,182,609.11</w:t>
      </w:r>
    </w:p>
    <w:p>
      <w:pPr>
        <w:framePr w:w="1930" w:x="8952" w:y="13004"/>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695,772,671.60</w:t>
      </w:r>
    </w:p>
    <w:p>
      <w:pPr>
        <w:framePr w:w="1930" w:x="8952" w:y="13004"/>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46,628,480.19</w:t>
      </w:r>
    </w:p>
    <w:p>
      <w:pPr>
        <w:framePr w:w="1930" w:x="8952" w:y="13004"/>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21,469,740.66</w:t>
      </w:r>
    </w:p>
    <w:p>
      <w:pPr>
        <w:framePr w:w="1930" w:x="8952" w:y="13004"/>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85,094,778.13</w:t>
      </w:r>
    </w:p>
    <w:p>
      <w:pPr>
        <w:framePr w:w="1930" w:x="8952" w:y="13004"/>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848,965,670.58</w:t>
      </w:r>
    </w:p>
    <w:p>
      <w:pPr>
        <w:framePr w:w="1930" w:x="8952" w:y="13004"/>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420,216,938.53</w:t>
      </w:r>
    </w:p>
    <w:p>
      <w:pPr>
        <w:framePr w:w="3197" w:x="2009" w:y="13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购买商品、接受劳务支付的现金</w:t>
      </w:r>
    </w:p>
    <w:p>
      <w:pPr>
        <w:framePr w:w="3197" w:x="2009" w:y="132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支付给职工及为职工支付的现金</w:t>
      </w:r>
    </w:p>
    <w:p>
      <w:pPr>
        <w:framePr w:w="3197" w:x="2009" w:y="132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支付的各项税费</w:t>
      </w:r>
    </w:p>
    <w:p>
      <w:pPr>
        <w:framePr w:w="3197" w:x="2009" w:y="141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支付其他与经营活动有关的现金</w:t>
      </w:r>
    </w:p>
    <w:p>
      <w:pPr>
        <w:framePr w:w="3197" w:x="2009" w:y="14135"/>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经营活动现金流出小计</w:t>
      </w:r>
    </w:p>
    <w:p>
      <w:pPr>
        <w:framePr w:w="3197" w:x="1798" w:y="14699"/>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3197" w:x="1798" w:y="1469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二、投资活动产生的现金流量：</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03" type="#_x0000_t75" style="width:445.6pt;height:2.7pt;margin-top:53.65pt;margin-left:87.45pt;mso-position-horizontal-relative:page;mso-position-vertical-relative:page;position:absolute;z-index:-251287552">
            <v:imagedata r:id="rId154" o:title=""/>
          </v:shape>
        </w:pict>
      </w:r>
      <w:r>
        <w:rPr>
          <w:noProof/>
        </w:rPr>
        <w:pict>
          <v:shape id="_x0000_s1204" type="#_x0000_t75" style="width:454.95pt;height:409pt;margin-top:74.3pt;margin-left:83.25pt;mso-position-horizontal-relative:page;mso-position-vertical-relative:page;position:absolute;z-index:-251406336">
            <v:imagedata r:id="rId155" o:title=""/>
          </v:shape>
        </w:pict>
      </w:r>
      <w:r>
        <w:rPr>
          <w:noProof/>
        </w:rPr>
        <w:pict>
          <v:shape id="_x0000_s1205" type="#_x0000_t75" style="width:454.95pt;height:186pt;margin-top:576.65pt;margin-left:83.25pt;mso-position-horizontal-relative:page;mso-position-vertical-relative:page;position:absolute;z-index:-251584512">
            <v:imagedata r:id="rId156" o:title=""/>
          </v:shape>
        </w:pict>
      </w:r>
    </w:p>
    <w:p>
      <w:pPr>
        <w:spacing w:line="0" w:lineRule="atLeast"/>
        <w:rPr>
          <w:rFonts w:ascii="Arial" w:eastAsiaTheme="minorEastAsia" w:hAnsiTheme="minorHAnsi" w:cstheme="minorBidi"/>
          <w:color w:val="FF0000"/>
          <w:sz w:val="2"/>
          <w:szCs w:val="22"/>
          <w:lang w:val="en-US" w:eastAsia="en-US" w:bidi="ar-SA"/>
        </w:rPr>
      </w:pPr>
      <w:bookmarkStart w:id="73" w:name="br1_72"/>
      <w:bookmarkEnd w:id="7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141" w:x="200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收回投资收到的现金</w:t>
      </w:r>
    </w:p>
    <w:p>
      <w:pPr>
        <w:framePr w:w="1930" w:x="678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1,475,600,000.00</w:t>
      </w:r>
    </w:p>
    <w:p>
      <w:pPr>
        <w:framePr w:w="1930" w:x="895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1,785,950,000.00</w:t>
      </w:r>
    </w:p>
    <w:p>
      <w:pPr>
        <w:framePr w:w="1930" w:x="8952" w:y="1547"/>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5,077,403.14</w:t>
      </w:r>
    </w:p>
    <w:p>
      <w:pPr>
        <w:framePr w:w="1930" w:x="8952" w:y="1547"/>
        <w:widowControl w:val="0"/>
        <w:autoSpaceDE w:val="0"/>
        <w:autoSpaceDN w:val="0"/>
        <w:spacing w:before="72" w:line="211" w:lineRule="exact"/>
        <w:ind w:left="73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21,102.56</w:t>
      </w:r>
    </w:p>
    <w:p>
      <w:pPr>
        <w:framePr w:w="3538" w:x="1798" w:y="1829"/>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取得投资收益收到的现金</w:t>
      </w:r>
    </w:p>
    <w:p>
      <w:pPr>
        <w:framePr w:w="3538" w:x="1798" w:y="182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处置固定资产、无形资产和其他长</w:t>
      </w:r>
    </w:p>
    <w:p>
      <w:pPr>
        <w:framePr w:w="3538" w:x="1798" w:y="182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期资产收回的现金净额</w:t>
      </w:r>
    </w:p>
    <w:p>
      <w:pPr>
        <w:framePr w:w="1507" w:x="7209"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3,601,379.86</w:t>
      </w:r>
    </w:p>
    <w:p>
      <w:pPr>
        <w:framePr w:w="1507" w:x="7209" w:y="1829"/>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189,419.58</w:t>
      </w:r>
    </w:p>
    <w:p>
      <w:pPr>
        <w:framePr w:w="3396" w:x="1798" w:y="2666"/>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处置子公司及其他营业单位收到</w:t>
      </w:r>
    </w:p>
    <w:p>
      <w:pPr>
        <w:framePr w:w="3396" w:x="1798" w:y="266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的现金净额</w:t>
      </w:r>
    </w:p>
    <w:p>
      <w:pPr>
        <w:framePr w:w="3197" w:x="2009" w:y="32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收到其他与投资活动有关的现金</w:t>
      </w:r>
    </w:p>
    <w:p>
      <w:pPr>
        <w:framePr w:w="3197" w:x="2009" w:y="3220"/>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投资活动现金流入小计</w:t>
      </w:r>
    </w:p>
    <w:p>
      <w:pPr>
        <w:framePr w:w="1930" w:x="6789" w:y="35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1,479,390,799.44</w:t>
      </w:r>
    </w:p>
    <w:p>
      <w:pPr>
        <w:framePr w:w="1930" w:x="6789" w:y="3504"/>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12,381,355.21</w:t>
      </w:r>
    </w:p>
    <w:p>
      <w:pPr>
        <w:framePr w:w="1930" w:x="8952" w:y="35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1,791,048,505.70</w:t>
      </w:r>
    </w:p>
    <w:p>
      <w:pPr>
        <w:framePr w:w="1930" w:x="8952" w:y="3504"/>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8,676,420.15</w:t>
      </w:r>
    </w:p>
    <w:p>
      <w:pPr>
        <w:framePr w:w="3538" w:x="1798" w:y="3784"/>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购建固定资产、无形资产和其他长</w:t>
      </w:r>
    </w:p>
    <w:p>
      <w:pPr>
        <w:framePr w:w="3538" w:x="1798" w:y="378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期资产支付的现金</w:t>
      </w:r>
    </w:p>
    <w:p>
      <w:pPr>
        <w:framePr w:w="1718" w:x="2009" w:y="43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投资支付的现金</w:t>
      </w:r>
    </w:p>
    <w:p>
      <w:pPr>
        <w:framePr w:w="1930" w:x="6789" w:y="43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1,459,900,000.00</w:t>
      </w:r>
    </w:p>
    <w:p>
      <w:pPr>
        <w:framePr w:w="1930" w:x="8952" w:y="43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1,821,150,000.00</w:t>
      </w:r>
    </w:p>
    <w:p>
      <w:pPr>
        <w:framePr w:w="1930" w:x="8952" w:y="4341"/>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100,000,000.00</w:t>
      </w:r>
    </w:p>
    <w:p>
      <w:pPr>
        <w:framePr w:w="3396" w:x="1798" w:y="4622"/>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取得子公司及其他营业单位支付</w:t>
      </w:r>
    </w:p>
    <w:p>
      <w:pPr>
        <w:framePr w:w="3396" w:x="1798" w:y="462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的现金净额</w:t>
      </w:r>
    </w:p>
    <w:p>
      <w:pPr>
        <w:framePr w:w="3197" w:x="2009" w:y="51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支付其他与投资活动有关的现金</w:t>
      </w:r>
    </w:p>
    <w:p>
      <w:pPr>
        <w:framePr w:w="3197" w:x="2009" w:y="5177"/>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投资活动现金流出小计</w:t>
      </w:r>
    </w:p>
    <w:p>
      <w:pPr>
        <w:framePr w:w="1930" w:x="6789" w:y="54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1,472,281,355.21</w:t>
      </w:r>
    </w:p>
    <w:p>
      <w:pPr>
        <w:framePr w:w="1930" w:x="6789" w:y="5460"/>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7,109,444.23</w:t>
      </w:r>
    </w:p>
    <w:p>
      <w:pPr>
        <w:framePr w:w="1930" w:x="8952" w:y="54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1,929,826,420.15</w:t>
      </w:r>
    </w:p>
    <w:p>
      <w:pPr>
        <w:framePr w:w="1930" w:x="8952" w:y="546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-138,777,914.45</w:t>
      </w:r>
    </w:p>
    <w:p>
      <w:pPr>
        <w:framePr w:w="3288" w:x="1798" w:y="5743"/>
        <w:widowControl w:val="0"/>
        <w:autoSpaceDE w:val="0"/>
        <w:autoSpaceDN w:val="0"/>
        <w:spacing w:line="211" w:lineRule="exact"/>
        <w:ind w:left="31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投资活动产生的现金流量净额</w:t>
      </w:r>
    </w:p>
    <w:p>
      <w:pPr>
        <w:framePr w:w="3288" w:x="1798" w:y="574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三、筹资活动产生的现金流量：</w:t>
      </w:r>
    </w:p>
    <w:p>
      <w:pPr>
        <w:framePr w:w="3288" w:x="1798" w:y="574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吸收投资收到的现金</w:t>
      </w:r>
    </w:p>
    <w:p>
      <w:pPr>
        <w:framePr w:w="1613" w:x="7103" w:y="63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1613" w:x="7103" w:y="630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1613" w:x="7103" w:y="630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14,790,465.48</w:t>
      </w:r>
    </w:p>
    <w:p>
      <w:pPr>
        <w:framePr w:w="1613" w:x="7103" w:y="630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48,158,365.48</w:t>
      </w:r>
    </w:p>
    <w:p>
      <w:pPr>
        <w:framePr w:w="1613" w:x="7103" w:y="630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1613" w:x="7103" w:y="630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34,156,055.36</w:t>
      </w:r>
    </w:p>
    <w:p>
      <w:pPr>
        <w:framePr w:w="2141" w:x="2009" w:y="6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取得借款收到的现金</w:t>
      </w:r>
    </w:p>
    <w:p>
      <w:pPr>
        <w:framePr w:w="1613" w:x="9266" w:y="65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3197" w:x="2009" w:y="68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收到其他与筹资活动有关的现金</w:t>
      </w:r>
    </w:p>
    <w:p>
      <w:pPr>
        <w:framePr w:w="3197" w:x="2009" w:y="6871"/>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筹资活动现金流入小计</w:t>
      </w:r>
    </w:p>
    <w:p>
      <w:pPr>
        <w:framePr w:w="1613" w:x="9266" w:y="71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1613" w:x="9266" w:y="715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1613" w:x="9266" w:y="7155"/>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261,241.67</w:t>
      </w:r>
    </w:p>
    <w:p>
      <w:pPr>
        <w:framePr w:w="2141" w:x="2009" w:y="7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偿还债务支付的现金</w:t>
      </w:r>
    </w:p>
    <w:p>
      <w:pPr>
        <w:framePr w:w="3538" w:x="1798" w:y="7719"/>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分配股利、利润或偿付利息支付的</w:t>
      </w:r>
    </w:p>
    <w:p>
      <w:pPr>
        <w:framePr w:w="3538" w:x="1798" w:y="771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现金</w:t>
      </w:r>
    </w:p>
    <w:p>
      <w:pPr>
        <w:framePr w:w="3197" w:x="2009" w:y="82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支付其他与筹资活动有关的现金</w:t>
      </w:r>
    </w:p>
    <w:p>
      <w:pPr>
        <w:framePr w:w="3197" w:x="2009" w:y="8273"/>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筹资活动现金流出小计</w:t>
      </w:r>
    </w:p>
    <w:p>
      <w:pPr>
        <w:framePr w:w="1824" w:x="6894" w:y="8273"/>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210,720,344.34</w:t>
      </w:r>
    </w:p>
    <w:p>
      <w:pPr>
        <w:framePr w:w="1824" w:x="6894" w:y="8273"/>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264,876,399.70</w:t>
      </w:r>
    </w:p>
    <w:p>
      <w:pPr>
        <w:framePr w:w="1824" w:x="6894" w:y="827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-216,718,034.22</w:t>
      </w:r>
    </w:p>
    <w:p>
      <w:pPr>
        <w:framePr w:w="1824" w:x="6894" w:y="8273"/>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-11,297,055.11</w:t>
      </w:r>
    </w:p>
    <w:p>
      <w:pPr>
        <w:framePr w:w="1824" w:x="9057" w:y="8273"/>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235,961,767.96</w:t>
      </w:r>
    </w:p>
    <w:p>
      <w:pPr>
        <w:framePr w:w="1824" w:x="9057" w:y="8273"/>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256,223,009.63</w:t>
      </w:r>
    </w:p>
    <w:p>
      <w:pPr>
        <w:framePr w:w="1824" w:x="9057" w:y="827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-236,223,009.63</w:t>
      </w:r>
    </w:p>
    <w:p>
      <w:pPr>
        <w:framePr w:w="1824" w:x="9057" w:y="8273"/>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5,865,434.57</w:t>
      </w:r>
    </w:p>
    <w:p>
      <w:pPr>
        <w:framePr w:w="3619" w:x="1798" w:y="8838"/>
        <w:widowControl w:val="0"/>
        <w:autoSpaceDE w:val="0"/>
        <w:autoSpaceDN w:val="0"/>
        <w:spacing w:line="211" w:lineRule="exact"/>
        <w:ind w:left="52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筹资活动产生的现金流量净额</w:t>
      </w:r>
    </w:p>
    <w:p>
      <w:pPr>
        <w:framePr w:w="3619" w:x="1798" w:y="88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四、汇率变动对现金及现金等价物的</w:t>
      </w:r>
    </w:p>
    <w:p>
      <w:pPr>
        <w:framePr w:w="3619" w:x="1798" w:y="883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影响</w:t>
      </w:r>
    </w:p>
    <w:p>
      <w:pPr>
        <w:framePr w:w="3396" w:x="1798" w:y="96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五、现金及现金等价物净增加额</w:t>
      </w:r>
    </w:p>
    <w:p>
      <w:pPr>
        <w:framePr w:w="3396" w:x="1798" w:y="9675"/>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加：期初现金及现金等价物余额</w:t>
      </w:r>
    </w:p>
    <w:p>
      <w:pPr>
        <w:framePr w:w="3396" w:x="1798" w:y="967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六、期末现金及现金等价物余额</w:t>
      </w:r>
    </w:p>
    <w:p>
      <w:pPr>
        <w:framePr w:w="1718" w:x="6997" w:y="96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-96,769,344.52</w:t>
      </w:r>
    </w:p>
    <w:p>
      <w:pPr>
        <w:framePr w:w="1718" w:x="6997" w:y="967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198,394,366.07</w:t>
      </w:r>
    </w:p>
    <w:p>
      <w:pPr>
        <w:framePr w:w="1718" w:x="6997" w:y="967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101,625,021.55</w:t>
      </w:r>
    </w:p>
    <w:p>
      <w:pPr>
        <w:framePr w:w="1718" w:x="9160" w:y="9675"/>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51,081,449.02</w:t>
      </w:r>
    </w:p>
    <w:p>
      <w:pPr>
        <w:framePr w:w="1718" w:x="9160" w:y="967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147,312,917.05</w:t>
      </w:r>
    </w:p>
    <w:p>
      <w:pPr>
        <w:framePr w:w="1718" w:x="9160" w:y="967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198,394,366.07</w:t>
      </w:r>
    </w:p>
    <w:p>
      <w:pPr>
        <w:framePr w:w="2141" w:x="1798" w:y="107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635" w:y="107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8207" w:y="107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06" type="#_x0000_t75" style="width:445.6pt;height:2.7pt;margin-top:53.65pt;margin-left:87.45pt;mso-position-horizontal-relative:page;mso-position-vertical-relative:page;position:absolute;z-index:-251405312">
            <v:imagedata r:id="rId157" o:title=""/>
          </v:shape>
        </w:pict>
      </w:r>
      <w:r>
        <w:rPr>
          <w:noProof/>
        </w:rPr>
        <w:pict>
          <v:shape id="_x0000_s1207" type="#_x0000_t75" style="width:454.95pt;height:451.35pt;margin-top:74.3pt;margin-left:83.25pt;mso-position-horizontal-relative:page;mso-position-vertical-relative:page;position:absolute;z-index:-251583488">
            <v:imagedata r:id="rId158" o:title=""/>
          </v:shape>
        </w:pict>
      </w:r>
    </w:p>
    <w:p>
      <w:pPr>
        <w:spacing w:line="0" w:lineRule="atLeast"/>
        <w:rPr>
          <w:rFonts w:ascii="Arial" w:eastAsiaTheme="minorEastAsia" w:hAnsiTheme="minorHAnsi" w:cstheme="minorBidi"/>
          <w:color w:val="FF0000"/>
          <w:sz w:val="2"/>
          <w:szCs w:val="22"/>
          <w:lang w:val="en-US" w:eastAsia="en-US" w:bidi="ar-SA"/>
        </w:rPr>
      </w:pPr>
      <w:bookmarkStart w:id="74" w:name="br1_73"/>
      <w:bookmarkEnd w:id="74"/>
      <w:r>
        <w:rPr>
          <w:rFonts w:ascii="Arial" w:eastAsiaTheme="minorEastAsia" w:hAnsiTheme="minorHAnsi" w:cstheme="minorBidi"/>
          <w:color w:val="FF0000"/>
          <w:sz w:val="2"/>
          <w:szCs w:val="22"/>
          <w:lang w:val="en-US" w:eastAsia="en-US" w:bidi="ar-SA"/>
        </w:rPr>
        <w:t xml:space="preserve"> </w:t>
      </w:r>
    </w:p>
    <w:p>
      <w:pPr>
        <w:framePr w:w="1550" w:x="7796" w:y="85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352" w:x="7395" w:y="1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合并所有者权益变动表</w:t>
      </w:r>
    </w:p>
    <w:p>
      <w:pPr>
        <w:framePr w:w="1764" w:x="7688" w:y="15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p>
    <w:p>
      <w:pPr>
        <w:framePr w:w="2342" w:x="13298" w:y="18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1008" w:x="9575" w:y="212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2020</w:t>
      </w:r>
      <w:r>
        <w:rPr>
          <w:rFonts w:ascii="SimSun" w:hAnsi="SimSun" w:eastAsiaTheme="minorEastAsia" w:cs="SimSun"/>
          <w:color w:val="000000"/>
          <w:sz w:val="18"/>
          <w:szCs w:val="22"/>
          <w:lang w:val="en-US" w:eastAsia="en-US" w:bidi="ar-SA"/>
        </w:rPr>
        <w:t>年度</w:t>
      </w:r>
    </w:p>
    <w:p>
      <w:pPr>
        <w:framePr w:w="2220" w:x="7127" w:y="252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归属于母公司所有者权益</w:t>
      </w:r>
    </w:p>
    <w:p>
      <w:pPr>
        <w:framePr w:w="420" w:x="14409" w:y="266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少</w:t>
      </w:r>
    </w:p>
    <w:p>
      <w:pPr>
        <w:framePr w:w="420" w:x="14409" w:y="2667"/>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数</w:t>
      </w:r>
    </w:p>
    <w:p>
      <w:pPr>
        <w:framePr w:w="420" w:x="14409" w:y="2667"/>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1140" w:x="3550" w:y="293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其他权益工</w:t>
      </w:r>
    </w:p>
    <w:p>
      <w:pPr>
        <w:framePr w:w="1140" w:x="3550" w:y="2931"/>
        <w:widowControl w:val="0"/>
        <w:autoSpaceDE w:val="0"/>
        <w:autoSpaceDN w:val="0"/>
        <w:spacing w:before="60" w:line="180" w:lineRule="exact"/>
        <w:ind w:left="36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具</w:t>
      </w:r>
    </w:p>
    <w:p>
      <w:pPr>
        <w:framePr w:w="420" w:x="7172" w:y="293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7172" w:y="293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7172" w:y="293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综</w:t>
      </w:r>
    </w:p>
    <w:p>
      <w:pPr>
        <w:framePr w:w="420" w:x="10290" w:y="293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w:t>
      </w:r>
    </w:p>
    <w:p>
      <w:pPr>
        <w:framePr w:w="600" w:x="1061" w:y="313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420" w:x="10290" w:y="317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般</w:t>
      </w:r>
    </w:p>
    <w:p>
      <w:pPr>
        <w:framePr w:w="420" w:x="10290" w:y="317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风</w:t>
      </w:r>
    </w:p>
    <w:p>
      <w:pPr>
        <w:framePr w:w="420" w:x="10290" w:y="3171"/>
        <w:widowControl w:val="0"/>
        <w:autoSpaceDE w:val="0"/>
        <w:autoSpaceDN w:val="0"/>
        <w:spacing w:before="61"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险</w:t>
      </w:r>
    </w:p>
    <w:p>
      <w:pPr>
        <w:framePr w:w="420" w:x="10290" w:y="317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准</w:t>
      </w:r>
    </w:p>
    <w:p>
      <w:pPr>
        <w:framePr w:w="420" w:x="10290" w:y="317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备</w:t>
      </w:r>
    </w:p>
    <w:p>
      <w:pPr>
        <w:framePr w:w="1500" w:x="14860" w:y="325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所有者权益合计</w:t>
      </w:r>
    </w:p>
    <w:p>
      <w:pPr>
        <w:framePr w:w="420" w:x="14409" w:y="336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东</w:t>
      </w:r>
    </w:p>
    <w:p>
      <w:pPr>
        <w:framePr w:w="420" w:x="14409" w:y="3367"/>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权</w:t>
      </w:r>
    </w:p>
    <w:p>
      <w:pPr>
        <w:framePr w:w="420" w:x="14409" w:y="3367"/>
        <w:widowControl w:val="0"/>
        <w:autoSpaceDE w:val="0"/>
        <w:autoSpaceDN w:val="0"/>
        <w:spacing w:before="56"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1411" w:x="2069" w:y="341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实收资本</w:t>
      </w:r>
      <w:r>
        <w:rPr>
          <w:rFonts w:ascii="SimSun" w:eastAsiaTheme="minorEastAsia" w:hAnsiTheme="minorHAnsi" w:cstheme="minorBidi"/>
          <w:color w:val="000000"/>
          <w:spacing w:val="1"/>
          <w:sz w:val="18"/>
          <w:szCs w:val="22"/>
          <w:lang w:val="en-US" w:eastAsia="en-US" w:bidi="ar-SA"/>
        </w:rPr>
        <w:t>(</w:t>
      </w:r>
      <w:r>
        <w:rPr>
          <w:rFonts w:ascii="SimSun" w:hAnsi="SimSun" w:eastAsiaTheme="minorEastAsia" w:cs="SimSun"/>
          <w:color w:val="000000"/>
          <w:sz w:val="18"/>
          <w:szCs w:val="22"/>
          <w:lang w:val="en-US" w:eastAsia="en-US" w:bidi="ar-SA"/>
        </w:rPr>
        <w:t>或股</w:t>
      </w:r>
    </w:p>
    <w:p>
      <w:pPr>
        <w:framePr w:w="1411" w:x="2069" w:y="3411"/>
        <w:widowControl w:val="0"/>
        <w:autoSpaceDE w:val="0"/>
        <w:autoSpaceDN w:val="0"/>
        <w:spacing w:before="61" w:line="180" w:lineRule="exact"/>
        <w:ind w:left="449"/>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r>
        <w:rPr>
          <w:rFonts w:ascii="SimSun" w:eastAsiaTheme="minorEastAsia" w:hAnsiTheme="minorHAnsi" w:cstheme="minorBidi"/>
          <w:color w:val="000000"/>
          <w:sz w:val="18"/>
          <w:szCs w:val="22"/>
          <w:lang w:val="en-US" w:eastAsia="en-US" w:bidi="ar-SA"/>
        </w:rPr>
        <w:t>)</w:t>
      </w:r>
    </w:p>
    <w:p>
      <w:pPr>
        <w:framePr w:w="420" w:x="12261" w:y="340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12261" w:y="3408"/>
        <w:widowControl w:val="0"/>
        <w:autoSpaceDE w:val="0"/>
        <w:autoSpaceDN w:val="0"/>
        <w:spacing w:before="56"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3485" w:y="353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优</w:t>
      </w:r>
    </w:p>
    <w:p>
      <w:pPr>
        <w:framePr w:w="420" w:x="3910" w:y="353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永</w:t>
      </w:r>
    </w:p>
    <w:p>
      <w:pPr>
        <w:framePr w:w="420" w:x="3910" w:y="3535"/>
        <w:widowControl w:val="0"/>
        <w:autoSpaceDE w:val="0"/>
        <w:autoSpaceDN w:val="0"/>
        <w:spacing w:before="61"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续</w:t>
      </w:r>
    </w:p>
    <w:p>
      <w:pPr>
        <w:framePr w:w="420" w:x="3910" w:y="3535"/>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债</w:t>
      </w:r>
    </w:p>
    <w:p>
      <w:pPr>
        <w:framePr w:w="960" w:x="4916" w:y="353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资本公积</w:t>
      </w:r>
    </w:p>
    <w:p>
      <w:pPr>
        <w:framePr w:w="1140" w:x="6032" w:y="353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减：库存股</w:t>
      </w:r>
    </w:p>
    <w:p>
      <w:pPr>
        <w:framePr w:w="960" w:x="7823" w:y="353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专项储备</w:t>
      </w:r>
    </w:p>
    <w:p>
      <w:pPr>
        <w:framePr w:w="960" w:x="9169" w:y="353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盈余公积</w:t>
      </w:r>
    </w:p>
    <w:p>
      <w:pPr>
        <w:framePr w:w="1140" w:x="10909" w:y="353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未分配利润</w:t>
      </w:r>
    </w:p>
    <w:p>
      <w:pPr>
        <w:framePr w:w="600" w:x="13252" w:y="352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小计</w:t>
      </w:r>
    </w:p>
    <w:p>
      <w:pPr>
        <w:framePr w:w="420" w:x="4335" w:y="365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4335" w:y="3656"/>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7172" w:y="365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w:t>
      </w:r>
    </w:p>
    <w:p>
      <w:pPr>
        <w:framePr w:w="420" w:x="7172" w:y="365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w:t>
      </w:r>
    </w:p>
    <w:p>
      <w:pPr>
        <w:framePr w:w="420" w:x="7172" w:y="365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420" w:x="3485" w:y="377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先</w:t>
      </w:r>
    </w:p>
    <w:p>
      <w:pPr>
        <w:framePr w:w="420" w:x="3485" w:y="3776"/>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2852" w:x="641" w:y="4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一、上年年末余</w:t>
      </w:r>
      <w:r>
        <w:rPr>
          <w:rFonts w:eastAsiaTheme="minorEastAsia" w:hAnsiTheme="minorHAnsi" w:cstheme="minorBidi"/>
          <w:color w:val="000000"/>
          <w:spacing w:val="201"/>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112,000,000.0</w:t>
      </w:r>
    </w:p>
    <w:p>
      <w:pPr>
        <w:framePr w:w="2852" w:x="641" w:y="4374"/>
        <w:widowControl w:val="0"/>
        <w:autoSpaceDE w:val="0"/>
        <w:autoSpaceDN w:val="0"/>
        <w:spacing w:before="53" w:line="180" w:lineRule="exact"/>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额</w:t>
      </w:r>
      <w:r>
        <w:rPr>
          <w:rFonts w:eastAsiaTheme="minorEastAsia" w:hAnsiTheme="minorHAnsi" w:cstheme="minorBidi"/>
          <w:color w:val="000000"/>
          <w:spacing w:val="2295"/>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0</w:t>
      </w:r>
    </w:p>
    <w:p>
      <w:pPr>
        <w:framePr w:w="1233" w:x="4817" w:y="4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w:t>
      </w:r>
    </w:p>
    <w:p>
      <w:pPr>
        <w:framePr w:w="1233" w:x="4817" w:y="4374"/>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.58</w:t>
      </w:r>
    </w:p>
    <w:p>
      <w:pPr>
        <w:framePr w:w="1411" w:x="7611" w:y="4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39,032,613.89</w:t>
      </w:r>
    </w:p>
    <w:p>
      <w:pPr>
        <w:framePr w:w="1232" w:x="9071" w:y="4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56,544,285.</w:t>
      </w:r>
    </w:p>
    <w:p>
      <w:pPr>
        <w:framePr w:w="1232" w:x="9071" w:y="4374"/>
        <w:widowControl w:val="0"/>
        <w:autoSpaceDE w:val="0"/>
        <w:autoSpaceDN w:val="0"/>
        <w:spacing w:before="53" w:line="180" w:lineRule="exact"/>
        <w:ind w:left="81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69</w:t>
      </w:r>
    </w:p>
    <w:p>
      <w:pPr>
        <w:framePr w:w="1500" w:x="10758" w:y="4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904,577,918.54</w:t>
      </w:r>
    </w:p>
    <w:p>
      <w:pPr>
        <w:framePr w:w="1680" w:x="12739" w:y="4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1,557,176,380.70</w:t>
      </w:r>
    </w:p>
    <w:p>
      <w:pPr>
        <w:framePr w:w="1501" w:x="14901" w:y="4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w:t>
      </w:r>
    </w:p>
    <w:p>
      <w:pPr>
        <w:framePr w:w="1501" w:x="14901" w:y="4374"/>
        <w:widowControl w:val="0"/>
        <w:autoSpaceDE w:val="0"/>
        <w:autoSpaceDN w:val="0"/>
        <w:spacing w:before="53"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70</w:t>
      </w:r>
    </w:p>
    <w:p>
      <w:pPr>
        <w:framePr w:w="1500" w:x="641" w:y="484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加：会计政策变</w:t>
      </w:r>
    </w:p>
    <w:p>
      <w:pPr>
        <w:framePr w:w="1500" w:x="641" w:y="4849"/>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更</w:t>
      </w:r>
    </w:p>
    <w:p>
      <w:pPr>
        <w:framePr w:w="1320" w:x="641" w:y="532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前期差错更正</w:t>
      </w:r>
    </w:p>
    <w:p>
      <w:pPr>
        <w:framePr w:w="1320" w:x="641" w:y="5326"/>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同一控制下企</w:t>
      </w:r>
    </w:p>
    <w:p>
      <w:pPr>
        <w:framePr w:w="1320" w:x="641" w:y="532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业合并</w:t>
      </w:r>
    </w:p>
    <w:p>
      <w:pPr>
        <w:framePr w:w="600" w:x="1061" w:y="60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2852" w:x="641" w:y="62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二、本年期初余</w:t>
      </w:r>
      <w:r>
        <w:rPr>
          <w:rFonts w:eastAsiaTheme="minorEastAsia" w:hAnsiTheme="minorHAnsi" w:cstheme="minorBidi"/>
          <w:color w:val="000000"/>
          <w:spacing w:val="201"/>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112,000,000.0</w:t>
      </w:r>
    </w:p>
    <w:p>
      <w:pPr>
        <w:framePr w:w="2852" w:x="641" w:y="6292"/>
        <w:widowControl w:val="0"/>
        <w:autoSpaceDE w:val="0"/>
        <w:autoSpaceDN w:val="0"/>
        <w:spacing w:before="53" w:line="180" w:lineRule="exact"/>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额</w:t>
      </w:r>
      <w:r>
        <w:rPr>
          <w:rFonts w:eastAsiaTheme="minorEastAsia" w:hAnsiTheme="minorHAnsi" w:cstheme="minorBidi"/>
          <w:color w:val="000000"/>
          <w:spacing w:val="2295"/>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0</w:t>
      </w:r>
    </w:p>
    <w:p>
      <w:pPr>
        <w:framePr w:w="1233" w:x="4817" w:y="62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w:t>
      </w:r>
    </w:p>
    <w:p>
      <w:pPr>
        <w:framePr w:w="1233" w:x="4817" w:y="6292"/>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.58</w:t>
      </w:r>
    </w:p>
    <w:p>
      <w:pPr>
        <w:framePr w:w="1412" w:x="7611" w:y="62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39,032,613.89</w:t>
      </w:r>
    </w:p>
    <w:p>
      <w:pPr>
        <w:framePr w:w="1412" w:x="7611" w:y="6292"/>
        <w:widowControl w:val="0"/>
        <w:autoSpaceDE w:val="0"/>
        <w:autoSpaceDN w:val="0"/>
        <w:spacing w:before="295" w:line="180" w:lineRule="exact"/>
        <w:ind w:left="27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526,958.76</w:t>
      </w:r>
    </w:p>
    <w:p>
      <w:pPr>
        <w:framePr w:w="1231" w:x="9071" w:y="62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56,544,285.</w:t>
      </w:r>
    </w:p>
    <w:p>
      <w:pPr>
        <w:framePr w:w="1500" w:x="10758" w:y="62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904,577,918.54</w:t>
      </w:r>
    </w:p>
    <w:p>
      <w:pPr>
        <w:framePr w:w="1500" w:x="10758" w:y="6292"/>
        <w:widowControl w:val="0"/>
        <w:autoSpaceDE w:val="0"/>
        <w:autoSpaceDN w:val="0"/>
        <w:spacing w:before="29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135,900,294.77</w:t>
      </w:r>
    </w:p>
    <w:p>
      <w:pPr>
        <w:framePr w:w="1680" w:x="12739" w:y="62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1,557,176,380.70</w:t>
      </w:r>
    </w:p>
    <w:p>
      <w:pPr>
        <w:framePr w:w="1680" w:x="12739" w:y="6292"/>
        <w:widowControl w:val="0"/>
        <w:autoSpaceDE w:val="0"/>
        <w:autoSpaceDN w:val="0"/>
        <w:spacing w:before="295" w:line="180" w:lineRule="exact"/>
        <w:ind w:left="1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146,605,593.86</w:t>
      </w:r>
    </w:p>
    <w:p>
      <w:pPr>
        <w:framePr w:w="1501" w:x="14901" w:y="62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w:t>
      </w:r>
    </w:p>
    <w:p>
      <w:pPr>
        <w:framePr w:w="1501" w:x="14901" w:y="6292"/>
        <w:widowControl w:val="0"/>
        <w:autoSpaceDE w:val="0"/>
        <w:autoSpaceDN w:val="0"/>
        <w:spacing w:before="53"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70</w:t>
      </w:r>
    </w:p>
    <w:p>
      <w:pPr>
        <w:framePr w:w="1232" w:x="9071" w:y="6524"/>
        <w:widowControl w:val="0"/>
        <w:autoSpaceDE w:val="0"/>
        <w:autoSpaceDN w:val="0"/>
        <w:spacing w:line="180" w:lineRule="exact"/>
        <w:ind w:left="81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69</w:t>
      </w:r>
    </w:p>
    <w:p>
      <w:pPr>
        <w:framePr w:w="1232" w:x="9071" w:y="652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w:t>
      </w:r>
    </w:p>
    <w:p>
      <w:pPr>
        <w:framePr w:w="1232" w:x="9071" w:y="6524"/>
        <w:widowControl w:val="0"/>
        <w:autoSpaceDE w:val="0"/>
        <w:autoSpaceDN w:val="0"/>
        <w:spacing w:before="55"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w:t>
      </w:r>
    </w:p>
    <w:p>
      <w:pPr>
        <w:framePr w:w="2852" w:x="641" w:y="676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三、本期增减变</w:t>
      </w:r>
      <w:r>
        <w:rPr>
          <w:rFonts w:eastAsiaTheme="minorEastAsia" w:hAnsiTheme="minorHAnsi" w:cstheme="minorBidi"/>
          <w:color w:val="000000"/>
          <w:spacing w:val="201"/>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46,490,000.00</w:t>
      </w:r>
    </w:p>
    <w:p>
      <w:pPr>
        <w:framePr w:w="2852" w:x="641" w:y="6767"/>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动金额（减少以</w:t>
      </w:r>
    </w:p>
    <w:p>
      <w:pPr>
        <w:framePr w:w="2366" w:x="4817" w:y="676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-29,477,800</w:t>
      </w:r>
      <w:r>
        <w:rPr>
          <w:rFonts w:ascii="SimSun" w:eastAsiaTheme="minorEastAsia" w:hAnsiTheme="minorHAnsi" w:cstheme="minorBidi"/>
          <w:color w:val="000000"/>
          <w:spacing w:val="14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13,367,900</w:t>
      </w:r>
    </w:p>
    <w:p>
      <w:pPr>
        <w:framePr w:w="2366" w:x="4817" w:y="6767"/>
        <w:widowControl w:val="0"/>
        <w:autoSpaceDE w:val="0"/>
        <w:autoSpaceDN w:val="0"/>
        <w:spacing w:before="55"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r>
        <w:rPr>
          <w:rFonts w:ascii="SimSun" w:eastAsiaTheme="minorEastAsia" w:hAnsiTheme="minorHAnsi" w:cstheme="minorBidi"/>
          <w:color w:val="000000"/>
          <w:spacing w:val="769"/>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.00</w:t>
      </w:r>
    </w:p>
    <w:p>
      <w:pPr>
        <w:framePr w:w="1500" w:x="14901" w:y="676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146,605,593.86</w:t>
      </w:r>
    </w:p>
    <w:p>
      <w:pPr>
        <w:framePr w:w="1500" w:x="641" w:y="723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“－”号填列）</w:t>
      </w:r>
    </w:p>
    <w:p>
      <w:pPr>
        <w:framePr w:w="1500" w:x="641" w:y="7235"/>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（一）综合收益</w:t>
      </w:r>
    </w:p>
    <w:p>
      <w:pPr>
        <w:framePr w:w="1500" w:x="10758" w:y="747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176,034,335.10</w:t>
      </w:r>
    </w:p>
    <w:p>
      <w:pPr>
        <w:framePr w:w="1500" w:x="12919" w:y="747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176,034,335.10</w:t>
      </w:r>
    </w:p>
    <w:p>
      <w:pPr>
        <w:framePr w:w="1500" w:x="12919" w:y="7477"/>
        <w:widowControl w:val="0"/>
        <w:autoSpaceDE w:val="0"/>
        <w:autoSpaceDN w:val="0"/>
        <w:spacing w:before="298" w:line="180" w:lineRule="exact"/>
        <w:ind w:left="1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3,644,300.00</w:t>
      </w:r>
    </w:p>
    <w:p>
      <w:pPr>
        <w:framePr w:w="1500" w:x="14901" w:y="747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176,034,335.10</w:t>
      </w:r>
    </w:p>
    <w:p>
      <w:pPr>
        <w:framePr w:w="1500" w:x="14901" w:y="7477"/>
        <w:widowControl w:val="0"/>
        <w:autoSpaceDE w:val="0"/>
        <w:autoSpaceDN w:val="0"/>
        <w:spacing w:before="298" w:line="180" w:lineRule="exact"/>
        <w:ind w:left="178"/>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3,644,300.00</w:t>
      </w:r>
    </w:p>
    <w:p>
      <w:pPr>
        <w:framePr w:w="600" w:x="641" w:y="771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总额</w:t>
      </w:r>
    </w:p>
    <w:p>
      <w:pPr>
        <w:framePr w:w="1500" w:x="641" w:y="795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（二）所有者投</w:t>
      </w:r>
    </w:p>
    <w:p>
      <w:pPr>
        <w:framePr w:w="1500" w:x="641" w:y="795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入和减少资本</w:t>
      </w:r>
    </w:p>
    <w:p>
      <w:pPr>
        <w:framePr w:w="1500" w:x="641" w:y="7955"/>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．所有者投入</w:t>
      </w:r>
    </w:p>
    <w:p>
      <w:pPr>
        <w:framePr w:w="1500" w:x="641" w:y="795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的普通股</w:t>
      </w:r>
    </w:p>
    <w:p>
      <w:pPr>
        <w:framePr w:w="1320" w:x="2172" w:y="795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1,690,000.00</w:t>
      </w:r>
    </w:p>
    <w:p>
      <w:pPr>
        <w:framePr w:w="1320" w:x="2172" w:y="7955"/>
        <w:widowControl w:val="0"/>
        <w:autoSpaceDE w:val="0"/>
        <w:autoSpaceDN w:val="0"/>
        <w:spacing w:before="29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1,690,000.00</w:t>
      </w:r>
    </w:p>
    <w:p>
      <w:pPr>
        <w:framePr w:w="2366" w:x="4817" w:y="795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15,322,200.</w:t>
      </w:r>
      <w:r>
        <w:rPr>
          <w:rFonts w:ascii="SimSun" w:eastAsiaTheme="minorEastAsia" w:hAnsiTheme="minorHAnsi" w:cstheme="minorBidi"/>
          <w:color w:val="000000"/>
          <w:spacing w:val="14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13,367,900</w:t>
      </w:r>
    </w:p>
    <w:p>
      <w:pPr>
        <w:framePr w:w="2366" w:x="4817" w:y="7955"/>
        <w:widowControl w:val="0"/>
        <w:autoSpaceDE w:val="0"/>
        <w:autoSpaceDN w:val="0"/>
        <w:spacing w:before="53" w:line="180" w:lineRule="exact"/>
        <w:ind w:left="81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r>
        <w:rPr>
          <w:rFonts w:ascii="SimSun" w:eastAsiaTheme="minorEastAsia" w:hAnsiTheme="minorHAnsi" w:cstheme="minorBidi"/>
          <w:color w:val="000000"/>
          <w:spacing w:val="769"/>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.00</w:t>
      </w:r>
    </w:p>
    <w:p>
      <w:pPr>
        <w:framePr w:w="2366" w:x="4817" w:y="7955"/>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11,677,900.</w:t>
      </w:r>
      <w:r>
        <w:rPr>
          <w:rFonts w:ascii="SimSun" w:eastAsiaTheme="minorEastAsia" w:hAnsiTheme="minorHAnsi" w:cstheme="minorBidi"/>
          <w:color w:val="000000"/>
          <w:spacing w:val="14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13,367,900</w:t>
      </w:r>
    </w:p>
    <w:p>
      <w:pPr>
        <w:framePr w:w="421" w:x="5629" w:y="866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512" w:x="6671" w:y="866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1411" w:x="641" w:y="890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．其他权益工</w:t>
      </w:r>
    </w:p>
    <w:p>
      <w:pPr>
        <w:framePr w:w="1411" w:x="641" w:y="8908"/>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具持有者投入</w:t>
      </w:r>
    </w:p>
    <w:p>
      <w:pPr>
        <w:framePr w:w="1411" w:x="641" w:y="8908"/>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资本</w:t>
      </w:r>
    </w:p>
    <w:p>
      <w:pPr>
        <w:framePr w:w="1411" w:x="641" w:y="961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．股份支付计</w:t>
      </w:r>
    </w:p>
    <w:p>
      <w:pPr>
        <w:framePr w:w="1411" w:x="641" w:y="9619"/>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入所有者权益</w:t>
      </w:r>
    </w:p>
    <w:p>
      <w:pPr>
        <w:framePr w:w="1231" w:x="4817" w:y="961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3,644,300.0</w:t>
      </w:r>
    </w:p>
    <w:p>
      <w:pPr>
        <w:framePr w:w="1231" w:x="4817" w:y="9619"/>
        <w:widowControl w:val="0"/>
        <w:autoSpaceDE w:val="0"/>
        <w:autoSpaceDN w:val="0"/>
        <w:spacing w:before="55" w:line="180" w:lineRule="exact"/>
        <w:ind w:left="90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0</w:t>
      </w:r>
    </w:p>
    <w:p>
      <w:pPr>
        <w:framePr w:w="1320" w:x="13099" w:y="961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3,644,300.00</w:t>
      </w:r>
    </w:p>
    <w:p>
      <w:pPr>
        <w:framePr w:w="1320" w:x="15081" w:y="961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3,644,300.00</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208" type="#_x0000_t75" style="width:697.6pt;height:2.7pt;margin-top:54.25pt;margin-left:73.75pt;mso-position-horizontal-relative:page;mso-position-vertical-relative:page;position:absolute;z-index:-251404288">
            <v:imagedata r:id="rId159" o:title=""/>
          </v:shape>
        </w:pict>
      </w:r>
      <w:r>
        <w:rPr>
          <w:noProof/>
        </w:rPr>
        <w:pict>
          <v:shape id="_x0000_s1209" type="#_x0000_t75" style="width:789.45pt;height:401.2pt;margin-top:103.35pt;margin-left:25.3pt;mso-position-horizontal-relative:page;mso-position-vertical-relative:page;position:absolute;z-index:-251582464">
            <v:imagedata r:id="rId160" o:title=""/>
          </v:shape>
        </w:pict>
      </w:r>
    </w:p>
    <w:p>
      <w:pPr>
        <w:spacing w:line="0" w:lineRule="atLeast"/>
        <w:rPr>
          <w:rFonts w:ascii="Arial" w:eastAsiaTheme="minorEastAsia" w:hAnsiTheme="minorHAnsi" w:cstheme="minorBidi"/>
          <w:color w:val="FF0000"/>
          <w:sz w:val="2"/>
          <w:szCs w:val="22"/>
          <w:lang w:val="en-US" w:eastAsia="en-US" w:bidi="ar-SA"/>
        </w:rPr>
      </w:pPr>
      <w:bookmarkStart w:id="75" w:name="br1_74"/>
      <w:bookmarkEnd w:id="75"/>
      <w:r>
        <w:rPr>
          <w:rFonts w:ascii="Arial" w:eastAsiaTheme="minorEastAsia" w:hAnsiTheme="minorHAnsi" w:cstheme="minorBidi"/>
          <w:color w:val="FF0000"/>
          <w:sz w:val="2"/>
          <w:szCs w:val="22"/>
          <w:lang w:val="en-US" w:eastAsia="en-US" w:bidi="ar-SA"/>
        </w:rPr>
        <w:t xml:space="preserve"> </w:t>
      </w:r>
    </w:p>
    <w:p>
      <w:pPr>
        <w:framePr w:w="1550" w:x="7796" w:y="85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780" w:x="641" w:y="130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的金额</w:t>
      </w:r>
    </w:p>
    <w:p>
      <w:pPr>
        <w:framePr w:w="871" w:x="641" w:y="154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1500" w:x="641" w:y="179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（三）利润分配</w:t>
      </w:r>
    </w:p>
    <w:p>
      <w:pPr>
        <w:framePr w:w="1231" w:x="9071" w:y="179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w:t>
      </w:r>
    </w:p>
    <w:p>
      <w:pPr>
        <w:framePr w:w="1500" w:x="10758" w:y="179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-40,134,040.33</w:t>
      </w:r>
    </w:p>
    <w:p>
      <w:pPr>
        <w:framePr w:w="1500" w:x="10758" w:y="1793"/>
        <w:widowControl w:val="0"/>
        <w:autoSpaceDE w:val="0"/>
        <w:autoSpaceDN w:val="0"/>
        <w:spacing w:before="295" w:line="180" w:lineRule="exact"/>
        <w:ind w:left="89"/>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-6,534,040.33</w:t>
      </w:r>
    </w:p>
    <w:p>
      <w:pPr>
        <w:framePr w:w="1500" w:x="12919" w:y="179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500" w:x="12919" w:y="1793"/>
        <w:widowControl w:val="0"/>
        <w:autoSpaceDE w:val="0"/>
        <w:autoSpaceDN w:val="0"/>
        <w:spacing w:before="125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500" w:x="14901" w:y="179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500" w:x="14901" w:y="1793"/>
        <w:widowControl w:val="0"/>
        <w:autoSpaceDE w:val="0"/>
        <w:autoSpaceDN w:val="0"/>
        <w:spacing w:before="125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231" w:x="9071" w:y="2026"/>
        <w:widowControl w:val="0"/>
        <w:autoSpaceDE w:val="0"/>
        <w:autoSpaceDN w:val="0"/>
        <w:spacing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w:t>
      </w:r>
    </w:p>
    <w:p>
      <w:pPr>
        <w:framePr w:w="1231" w:x="9071" w:y="2026"/>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w:t>
      </w:r>
    </w:p>
    <w:p>
      <w:pPr>
        <w:framePr w:w="1231" w:x="9071" w:y="2026"/>
        <w:widowControl w:val="0"/>
        <w:autoSpaceDE w:val="0"/>
        <w:autoSpaceDN w:val="0"/>
        <w:spacing w:before="55"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w:t>
      </w:r>
    </w:p>
    <w:p>
      <w:pPr>
        <w:framePr w:w="1411" w:x="641" w:y="226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．提取盈余公</w:t>
      </w:r>
    </w:p>
    <w:p>
      <w:pPr>
        <w:framePr w:w="1411" w:x="641" w:y="2268"/>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积</w:t>
      </w:r>
    </w:p>
    <w:p>
      <w:pPr>
        <w:framePr w:w="1411" w:x="641" w:y="27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．提取一般风</w:t>
      </w:r>
    </w:p>
    <w:p>
      <w:pPr>
        <w:framePr w:w="1411" w:x="641" w:y="274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险准备</w:t>
      </w:r>
    </w:p>
    <w:p>
      <w:pPr>
        <w:framePr w:w="1590" w:x="641" w:y="32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pacing w:val="-21"/>
          <w:sz w:val="18"/>
          <w:szCs w:val="22"/>
          <w:lang w:val="en-US" w:eastAsia="en-US" w:bidi="ar-SA"/>
        </w:rPr>
        <w:t>．对所有者（或</w:t>
      </w:r>
    </w:p>
    <w:p>
      <w:pPr>
        <w:framePr w:w="1590" w:x="641" w:y="3223"/>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股东）的分配</w:t>
      </w:r>
    </w:p>
    <w:p>
      <w:pPr>
        <w:framePr w:w="1590" w:x="641" w:y="3223"/>
        <w:widowControl w:val="0"/>
        <w:autoSpaceDE w:val="0"/>
        <w:autoSpaceDN w:val="0"/>
        <w:spacing w:before="63"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1500" w:x="10758" w:y="322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2852" w:x="641" w:y="394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（四）所有者权</w:t>
      </w:r>
      <w:r>
        <w:rPr>
          <w:rFonts w:eastAsiaTheme="minorEastAsia" w:hAnsiTheme="minorHAnsi" w:cstheme="minorBidi"/>
          <w:color w:val="000000"/>
          <w:spacing w:val="201"/>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44,800,000.00</w:t>
      </w:r>
    </w:p>
    <w:p>
      <w:pPr>
        <w:framePr w:w="2852" w:x="641" w:y="394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益内部结转</w:t>
      </w:r>
    </w:p>
    <w:p>
      <w:pPr>
        <w:framePr w:w="1233" w:x="4817" w:y="394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w:t>
      </w:r>
    </w:p>
    <w:p>
      <w:pPr>
        <w:framePr w:w="1233" w:x="4817" w:y="3944"/>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2852" w:x="641" w:y="442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．资本公积转</w:t>
      </w:r>
      <w:r>
        <w:rPr>
          <w:rFonts w:eastAsiaTheme="minorEastAsia" w:hAnsiTheme="minorHAnsi" w:cstheme="minorBidi"/>
          <w:color w:val="000000"/>
          <w:spacing w:val="224"/>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44,800,000.00</w:t>
      </w:r>
    </w:p>
    <w:p>
      <w:pPr>
        <w:framePr w:w="2852" w:x="641" w:y="442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增资本（或股</w:t>
      </w:r>
    </w:p>
    <w:p>
      <w:pPr>
        <w:framePr w:w="2852" w:x="641" w:y="442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p>
    <w:p>
      <w:pPr>
        <w:framePr w:w="1233" w:x="4817" w:y="442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w:t>
      </w:r>
    </w:p>
    <w:p>
      <w:pPr>
        <w:framePr w:w="1233" w:x="4817" w:y="4422"/>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1411" w:x="641" w:y="513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．盈余公积转</w:t>
      </w:r>
    </w:p>
    <w:p>
      <w:pPr>
        <w:framePr w:w="1411" w:x="641" w:y="513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增资本（或股</w:t>
      </w:r>
    </w:p>
    <w:p>
      <w:pPr>
        <w:framePr w:w="1411" w:x="641" w:y="513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p>
    <w:p>
      <w:pPr>
        <w:framePr w:w="1411" w:x="641" w:y="58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．盈余公积弥</w:t>
      </w:r>
    </w:p>
    <w:p>
      <w:pPr>
        <w:framePr w:w="1411" w:x="641" w:y="584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补亏损</w:t>
      </w:r>
    </w:p>
    <w:p>
      <w:pPr>
        <w:framePr w:w="1411" w:x="641" w:y="631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．设定受益计</w:t>
      </w:r>
    </w:p>
    <w:p>
      <w:pPr>
        <w:framePr w:w="1411" w:x="641" w:y="6318"/>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划变动额结转</w:t>
      </w:r>
    </w:p>
    <w:p>
      <w:pPr>
        <w:framePr w:w="1411" w:x="641" w:y="6318"/>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留存收益</w:t>
      </w:r>
    </w:p>
    <w:p>
      <w:pPr>
        <w:framePr w:w="1411" w:x="641" w:y="702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w:t>
      </w:r>
      <w:r>
        <w:rPr>
          <w:rFonts w:ascii="SimSun" w:hAnsi="SimSun" w:eastAsiaTheme="minorEastAsia" w:cs="SimSun"/>
          <w:color w:val="000000"/>
          <w:sz w:val="18"/>
          <w:szCs w:val="22"/>
          <w:lang w:val="en-US" w:eastAsia="en-US" w:bidi="ar-SA"/>
        </w:rPr>
        <w:t>．其他综合收</w:t>
      </w:r>
    </w:p>
    <w:p>
      <w:pPr>
        <w:framePr w:w="1411" w:x="641" w:y="7028"/>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益结转留存收</w:t>
      </w:r>
    </w:p>
    <w:p>
      <w:pPr>
        <w:framePr w:w="1411" w:x="641" w:y="7028"/>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871" w:x="641" w:y="773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w:t>
      </w:r>
      <w:r>
        <w:rPr>
          <w:rFonts w:ascii="SimSun" w:hAnsi="SimSun" w:eastAsiaTheme="minorEastAsia" w:cs="SimSun"/>
          <w:color w:val="000000"/>
          <w:sz w:val="18"/>
          <w:szCs w:val="22"/>
          <w:lang w:val="en-US" w:eastAsia="en-US" w:bidi="ar-SA"/>
        </w:rPr>
        <w:t>．其他</w:t>
      </w:r>
    </w:p>
    <w:p>
      <w:pPr>
        <w:framePr w:w="1500" w:x="641" w:y="798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（五）专项储备</w:t>
      </w:r>
    </w:p>
    <w:p>
      <w:pPr>
        <w:framePr w:w="1500" w:x="641" w:y="7984"/>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．本期提取</w:t>
      </w:r>
    </w:p>
    <w:p>
      <w:pPr>
        <w:framePr w:w="1500" w:x="641" w:y="7984"/>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．本期使用</w:t>
      </w:r>
    </w:p>
    <w:p>
      <w:pPr>
        <w:framePr w:w="1500" w:x="641" w:y="7984"/>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（六）其他</w:t>
      </w:r>
    </w:p>
    <w:p>
      <w:pPr>
        <w:framePr w:w="1412" w:x="7611" w:y="7984"/>
        <w:widowControl w:val="0"/>
        <w:autoSpaceDE w:val="0"/>
        <w:autoSpaceDN w:val="0"/>
        <w:spacing w:line="180" w:lineRule="exact"/>
        <w:ind w:left="27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526,958.76</w:t>
      </w:r>
    </w:p>
    <w:p>
      <w:pPr>
        <w:framePr w:w="1412" w:x="7611" w:y="798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15,088,157.73</w:t>
      </w:r>
    </w:p>
    <w:p>
      <w:pPr>
        <w:framePr w:w="1412" w:x="7611" w:y="798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14,561,198.97</w:t>
      </w:r>
    </w:p>
    <w:p>
      <w:pPr>
        <w:framePr w:w="1412" w:x="13008" w:y="7984"/>
        <w:widowControl w:val="0"/>
        <w:autoSpaceDE w:val="0"/>
        <w:autoSpaceDN w:val="0"/>
        <w:spacing w:line="180" w:lineRule="exact"/>
        <w:ind w:left="27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526,958.76</w:t>
      </w:r>
    </w:p>
    <w:p>
      <w:pPr>
        <w:framePr w:w="1412" w:x="13008" w:y="798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15,088,157.73</w:t>
      </w:r>
    </w:p>
    <w:p>
      <w:pPr>
        <w:framePr w:w="1412" w:x="13008" w:y="798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14,561,198.97</w:t>
      </w:r>
    </w:p>
    <w:p>
      <w:pPr>
        <w:framePr w:w="1412" w:x="14990" w:y="7984"/>
        <w:widowControl w:val="0"/>
        <w:autoSpaceDE w:val="0"/>
        <w:autoSpaceDN w:val="0"/>
        <w:spacing w:line="180" w:lineRule="exact"/>
        <w:ind w:left="27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526,958.76</w:t>
      </w:r>
    </w:p>
    <w:p>
      <w:pPr>
        <w:framePr w:w="1412" w:x="14990" w:y="798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15,088,157.73</w:t>
      </w:r>
    </w:p>
    <w:p>
      <w:pPr>
        <w:framePr w:w="1412" w:x="14990" w:y="798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14,561,198.97</w:t>
      </w:r>
    </w:p>
    <w:p>
      <w:pPr>
        <w:framePr w:w="2852" w:x="641" w:y="89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四、本期期末余</w:t>
      </w:r>
      <w:r>
        <w:rPr>
          <w:rFonts w:eastAsiaTheme="minorEastAsia" w:hAnsiTheme="minorHAnsi" w:cstheme="minorBidi"/>
          <w:color w:val="000000"/>
          <w:spacing w:val="201"/>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158,490,000.0</w:t>
      </w:r>
    </w:p>
    <w:p>
      <w:pPr>
        <w:framePr w:w="2365" w:x="4817" w:y="89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415,543,762</w:t>
      </w:r>
      <w:r>
        <w:rPr>
          <w:rFonts w:ascii="SimSun" w:eastAsiaTheme="minorEastAsia" w:hAnsiTheme="minorHAnsi" w:cstheme="minorBidi"/>
          <w:color w:val="000000"/>
          <w:spacing w:val="14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13,367,900</w:t>
      </w:r>
    </w:p>
    <w:p>
      <w:pPr>
        <w:framePr w:w="1411" w:x="7611" w:y="89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39,559,572.65</w:t>
      </w:r>
    </w:p>
    <w:p>
      <w:pPr>
        <w:framePr w:w="1232" w:x="9071" w:y="89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63,078,326.</w:t>
      </w:r>
    </w:p>
    <w:p>
      <w:pPr>
        <w:framePr w:w="1232" w:x="9071" w:y="8956"/>
        <w:widowControl w:val="0"/>
        <w:autoSpaceDE w:val="0"/>
        <w:autoSpaceDN w:val="0"/>
        <w:spacing w:before="55" w:line="180" w:lineRule="exact"/>
        <w:ind w:left="81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02</w:t>
      </w:r>
    </w:p>
    <w:p>
      <w:pPr>
        <w:framePr w:w="1501" w:x="10758" w:y="89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1,040,478,213.</w:t>
      </w:r>
    </w:p>
    <w:p>
      <w:pPr>
        <w:framePr w:w="1501" w:x="10758" w:y="8956"/>
        <w:widowControl w:val="0"/>
        <w:autoSpaceDE w:val="0"/>
        <w:autoSpaceDN w:val="0"/>
        <w:spacing w:before="55"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31</w:t>
      </w:r>
    </w:p>
    <w:p>
      <w:pPr>
        <w:framePr w:w="1680" w:x="12739" w:y="89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1,703,781,974.56</w:t>
      </w:r>
    </w:p>
    <w:p>
      <w:pPr>
        <w:framePr w:w="1501" w:x="14901" w:y="89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1,703,781,974.</w:t>
      </w:r>
    </w:p>
    <w:p>
      <w:pPr>
        <w:framePr w:w="1501" w:x="14901" w:y="8956"/>
        <w:widowControl w:val="0"/>
        <w:autoSpaceDE w:val="0"/>
        <w:autoSpaceDN w:val="0"/>
        <w:spacing w:before="55"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56</w:t>
      </w:r>
    </w:p>
    <w:p>
      <w:pPr>
        <w:framePr w:w="420" w:x="641" w:y="919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额</w:t>
      </w:r>
    </w:p>
    <w:p>
      <w:pPr>
        <w:framePr w:w="330" w:x="3161" w:y="919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0</w:t>
      </w:r>
    </w:p>
    <w:p>
      <w:pPr>
        <w:framePr w:w="512" w:x="5538" w:y="919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.58</w:t>
      </w:r>
    </w:p>
    <w:p>
      <w:pPr>
        <w:framePr w:w="512" w:x="6671" w:y="919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210" type="#_x0000_t75" style="width:697.6pt;height:2.7pt;margin-top:54.25pt;margin-left:73.75pt;mso-position-horizontal-relative:page;mso-position-vertical-relative:page;position:absolute;z-index:-251403264">
            <v:imagedata r:id="rId161" o:title=""/>
          </v:shape>
        </w:pict>
      </w:r>
      <w:r>
        <w:rPr>
          <w:noProof/>
        </w:rPr>
        <w:pict>
          <v:shape id="_x0000_s1211" type="#_x0000_t75" style="width:789.45pt;height:408.9pt;margin-top:62.55pt;margin-left:25.3pt;mso-position-horizontal-relative:page;mso-position-vertical-relative:page;position:absolute;z-index:-251581440">
            <v:imagedata r:id="rId162" o:title=""/>
          </v:shape>
        </w:pict>
      </w:r>
    </w:p>
    <w:p>
      <w:pPr>
        <w:spacing w:line="0" w:lineRule="atLeast"/>
        <w:rPr>
          <w:rFonts w:ascii="Arial" w:eastAsiaTheme="minorEastAsia" w:hAnsiTheme="minorHAnsi" w:cstheme="minorBidi"/>
          <w:color w:val="FF0000"/>
          <w:sz w:val="2"/>
          <w:szCs w:val="22"/>
          <w:lang w:val="en-US" w:eastAsia="en-US" w:bidi="ar-SA"/>
        </w:rPr>
      </w:pPr>
      <w:bookmarkStart w:id="76" w:name="br1_75"/>
      <w:bookmarkEnd w:id="76"/>
      <w:r>
        <w:rPr>
          <w:rFonts w:ascii="Arial" w:eastAsiaTheme="minorEastAsia" w:hAnsiTheme="minorHAnsi" w:cstheme="minorBidi"/>
          <w:color w:val="FF0000"/>
          <w:sz w:val="2"/>
          <w:szCs w:val="22"/>
          <w:lang w:val="en-US" w:eastAsia="en-US" w:bidi="ar-SA"/>
        </w:rPr>
        <w:t xml:space="preserve"> </w:t>
      </w:r>
    </w:p>
    <w:p>
      <w:pPr>
        <w:framePr w:w="1550" w:x="7796" w:y="85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08" w:x="9789" w:y="131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2019</w:t>
      </w:r>
      <w:r>
        <w:rPr>
          <w:rFonts w:ascii="SimSun" w:hAnsi="SimSun" w:eastAsiaTheme="minorEastAsia" w:cs="SimSun"/>
          <w:color w:val="000000"/>
          <w:sz w:val="18"/>
          <w:szCs w:val="22"/>
          <w:lang w:val="en-US" w:eastAsia="en-US" w:bidi="ar-SA"/>
        </w:rPr>
        <w:t>年度</w:t>
      </w:r>
    </w:p>
    <w:p>
      <w:pPr>
        <w:framePr w:w="2220" w:x="7271" w:y="167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归属于母公司所有者权益</w:t>
      </w:r>
    </w:p>
    <w:p>
      <w:pPr>
        <w:framePr w:w="420" w:x="14412" w:y="181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少</w:t>
      </w:r>
    </w:p>
    <w:p>
      <w:pPr>
        <w:framePr w:w="420" w:x="14412" w:y="1815"/>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数</w:t>
      </w:r>
    </w:p>
    <w:p>
      <w:pPr>
        <w:framePr w:w="420" w:x="14412" w:y="181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420" w:x="14412" w:y="181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东</w:t>
      </w:r>
    </w:p>
    <w:p>
      <w:pPr>
        <w:framePr w:w="420" w:x="14412" w:y="181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权</w:t>
      </w:r>
    </w:p>
    <w:p>
      <w:pPr>
        <w:framePr w:w="420" w:x="14412" w:y="1815"/>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1140" w:x="3905" w:y="204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其他权益工</w:t>
      </w:r>
    </w:p>
    <w:p>
      <w:pPr>
        <w:framePr w:w="1140" w:x="3905" w:y="2043"/>
        <w:widowControl w:val="0"/>
        <w:autoSpaceDE w:val="0"/>
        <w:autoSpaceDN w:val="0"/>
        <w:spacing w:before="60" w:line="180" w:lineRule="exact"/>
        <w:ind w:left="36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具</w:t>
      </w:r>
    </w:p>
    <w:p>
      <w:pPr>
        <w:framePr w:w="420" w:x="7172" w:y="204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10293" w:y="204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w:t>
      </w:r>
    </w:p>
    <w:p>
      <w:pPr>
        <w:framePr w:w="420" w:x="10293" w:y="204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般</w:t>
      </w:r>
    </w:p>
    <w:p>
      <w:pPr>
        <w:framePr w:w="420" w:x="10293" w:y="204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风</w:t>
      </w:r>
    </w:p>
    <w:p>
      <w:pPr>
        <w:framePr w:w="600" w:x="1202" w:y="227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600" w:x="6594" w:y="228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减：</w:t>
      </w:r>
    </w:p>
    <w:p>
      <w:pPr>
        <w:framePr w:w="600" w:x="6594" w:y="2283"/>
        <w:widowControl w:val="0"/>
        <w:autoSpaceDE w:val="0"/>
        <w:autoSpaceDN w:val="0"/>
        <w:spacing w:before="60" w:line="180" w:lineRule="exact"/>
        <w:ind w:left="84"/>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库</w:t>
      </w:r>
    </w:p>
    <w:p>
      <w:pPr>
        <w:framePr w:w="420" w:x="7172" w:y="228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7172" w:y="228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综</w:t>
      </w:r>
    </w:p>
    <w:p>
      <w:pPr>
        <w:framePr w:w="420" w:x="7172" w:y="228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w:t>
      </w:r>
    </w:p>
    <w:p>
      <w:pPr>
        <w:framePr w:w="420" w:x="7172" w:y="228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w:t>
      </w:r>
    </w:p>
    <w:p>
      <w:pPr>
        <w:framePr w:w="420" w:x="7172" w:y="228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1500" w:x="14935" w:y="240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所有者权益合计</w:t>
      </w:r>
    </w:p>
    <w:p>
      <w:pPr>
        <w:framePr w:w="1502" w:x="2379" w:y="25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实收资本</w:t>
      </w:r>
      <w:r>
        <w:rPr>
          <w:rFonts w:eastAsiaTheme="minorEastAsia" w:hAnsiTheme="minorHAnsi" w:cstheme="minorBidi"/>
          <w:color w:val="000000"/>
          <w:spacing w:val="46"/>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w:t>
      </w:r>
      <w:r>
        <w:rPr>
          <w:rFonts w:ascii="SimSun" w:hAnsi="SimSun" w:eastAsiaTheme="minorEastAsia" w:cs="SimSun"/>
          <w:color w:val="000000"/>
          <w:sz w:val="18"/>
          <w:szCs w:val="22"/>
          <w:lang w:val="en-US" w:eastAsia="en-US" w:bidi="ar-SA"/>
        </w:rPr>
        <w:t>或股</w:t>
      </w:r>
    </w:p>
    <w:p>
      <w:pPr>
        <w:framePr w:w="1502" w:x="2379" w:y="2523"/>
        <w:widowControl w:val="0"/>
        <w:autoSpaceDE w:val="0"/>
        <w:autoSpaceDN w:val="0"/>
        <w:spacing w:before="60" w:line="180" w:lineRule="exact"/>
        <w:ind w:left="494"/>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r>
        <w:rPr>
          <w:rFonts w:ascii="SimSun" w:eastAsiaTheme="minorEastAsia" w:hAnsiTheme="minorHAnsi" w:cstheme="minorBidi"/>
          <w:color w:val="000000"/>
          <w:sz w:val="18"/>
          <w:szCs w:val="22"/>
          <w:lang w:val="en-US" w:eastAsia="en-US" w:bidi="ar-SA"/>
        </w:rPr>
        <w:t>)</w:t>
      </w:r>
    </w:p>
    <w:p>
      <w:pPr>
        <w:framePr w:w="420" w:x="12280" w:y="25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12280" w:y="2523"/>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3912" w:y="265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优</w:t>
      </w:r>
    </w:p>
    <w:p>
      <w:pPr>
        <w:framePr w:w="420" w:x="3912" w:y="265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先</w:t>
      </w:r>
    </w:p>
    <w:p>
      <w:pPr>
        <w:framePr w:w="420" w:x="3912" w:y="265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420" w:x="4340" w:y="265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永</w:t>
      </w:r>
    </w:p>
    <w:p>
      <w:pPr>
        <w:framePr w:w="420" w:x="4340" w:y="265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续</w:t>
      </w:r>
    </w:p>
    <w:p>
      <w:pPr>
        <w:framePr w:w="420" w:x="4340" w:y="265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债</w:t>
      </w:r>
    </w:p>
    <w:p>
      <w:pPr>
        <w:framePr w:w="960" w:x="5345" w:y="264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资本公积</w:t>
      </w:r>
    </w:p>
    <w:p>
      <w:pPr>
        <w:framePr w:w="960" w:x="7825" w:y="264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专项储备</w:t>
      </w:r>
    </w:p>
    <w:p>
      <w:pPr>
        <w:framePr w:w="960" w:x="9172" w:y="264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盈余公积</w:t>
      </w:r>
    </w:p>
    <w:p>
      <w:pPr>
        <w:framePr w:w="1140" w:x="10926" w:y="264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未分配利润</w:t>
      </w:r>
    </w:p>
    <w:p>
      <w:pPr>
        <w:framePr w:w="600" w:x="13257" w:y="264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小计</w:t>
      </w:r>
    </w:p>
    <w:p>
      <w:pPr>
        <w:framePr w:w="420" w:x="4752" w:y="276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4752" w:y="2767"/>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6678" w:y="276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存</w:t>
      </w:r>
    </w:p>
    <w:p>
      <w:pPr>
        <w:framePr w:w="420" w:x="10293" w:y="276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险</w:t>
      </w:r>
    </w:p>
    <w:p>
      <w:pPr>
        <w:framePr w:w="420" w:x="10293" w:y="276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准</w:t>
      </w:r>
    </w:p>
    <w:p>
      <w:pPr>
        <w:framePr w:w="420" w:x="10293" w:y="276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备</w:t>
      </w:r>
    </w:p>
    <w:p>
      <w:pPr>
        <w:framePr w:w="420" w:x="6678" w:y="300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1680" w:x="641" w:y="348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一、上年年末余额</w:t>
      </w:r>
    </w:p>
    <w:p>
      <w:pPr>
        <w:framePr w:w="1500" w:x="2420" w:y="348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5117" w:y="348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445,021,562.58</w:t>
      </w:r>
    </w:p>
    <w:p>
      <w:pPr>
        <w:framePr w:w="1411" w:x="7614" w:y="348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43,730,860.16</w:t>
      </w:r>
    </w:p>
    <w:p>
      <w:pPr>
        <w:framePr w:w="1232" w:x="9071" w:y="348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56,544,285.</w:t>
      </w:r>
    </w:p>
    <w:p>
      <w:pPr>
        <w:framePr w:w="1232" w:x="9071" w:y="3487"/>
        <w:widowControl w:val="0"/>
        <w:autoSpaceDE w:val="0"/>
        <w:autoSpaceDN w:val="0"/>
        <w:spacing w:before="53" w:line="180" w:lineRule="exact"/>
        <w:ind w:left="81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69</w:t>
      </w:r>
    </w:p>
    <w:p>
      <w:pPr>
        <w:framePr w:w="1500" w:x="10789" w:y="348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699,959,577.53</w:t>
      </w:r>
    </w:p>
    <w:p>
      <w:pPr>
        <w:framePr w:w="1680" w:x="12741" w:y="348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1,357,256,285.96</w:t>
      </w:r>
    </w:p>
    <w:p>
      <w:pPr>
        <w:framePr w:w="1680" w:x="14865" w:y="348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1,357,256,285.96</w:t>
      </w:r>
    </w:p>
    <w:p>
      <w:pPr>
        <w:framePr w:w="1680" w:x="641" w:y="396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加：会计政策变更</w:t>
      </w:r>
    </w:p>
    <w:p>
      <w:pPr>
        <w:framePr w:w="1680" w:x="641" w:y="3963"/>
        <w:widowControl w:val="0"/>
        <w:autoSpaceDE w:val="0"/>
        <w:autoSpaceDN w:val="0"/>
        <w:spacing w:before="65" w:line="180" w:lineRule="exact"/>
        <w:ind w:left="42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前期差错更</w:t>
      </w:r>
    </w:p>
    <w:p>
      <w:pPr>
        <w:framePr w:w="1680" w:x="641" w:y="3963"/>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正</w:t>
      </w:r>
    </w:p>
    <w:p>
      <w:pPr>
        <w:framePr w:w="1560" w:x="641" w:y="4683"/>
        <w:widowControl w:val="0"/>
        <w:autoSpaceDE w:val="0"/>
        <w:autoSpaceDN w:val="0"/>
        <w:spacing w:line="180" w:lineRule="exact"/>
        <w:ind w:left="42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同一控制下</w:t>
      </w:r>
    </w:p>
    <w:p>
      <w:pPr>
        <w:framePr w:w="1560" w:x="641" w:y="4683"/>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企业合并</w:t>
      </w:r>
    </w:p>
    <w:p>
      <w:pPr>
        <w:framePr w:w="600" w:x="1061" w:y="516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1680" w:x="641" w:y="540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二、本年期初余额</w:t>
      </w:r>
    </w:p>
    <w:p>
      <w:pPr>
        <w:framePr w:w="1500" w:x="2420" w:y="54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5117" w:y="54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445,021,562.58</w:t>
      </w:r>
    </w:p>
    <w:p>
      <w:pPr>
        <w:framePr w:w="1411" w:x="7614" w:y="54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43,730,860.16</w:t>
      </w:r>
    </w:p>
    <w:p>
      <w:pPr>
        <w:framePr w:w="1411" w:x="7614" w:y="5406"/>
        <w:widowControl w:val="0"/>
        <w:autoSpaceDE w:val="0"/>
        <w:autoSpaceDN w:val="0"/>
        <w:spacing w:before="29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-4,698,246.27</w:t>
      </w:r>
    </w:p>
    <w:p>
      <w:pPr>
        <w:framePr w:w="1232" w:x="9071" w:y="54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56,544,285.</w:t>
      </w:r>
    </w:p>
    <w:p>
      <w:pPr>
        <w:framePr w:w="1232" w:x="9071" w:y="5406"/>
        <w:widowControl w:val="0"/>
        <w:autoSpaceDE w:val="0"/>
        <w:autoSpaceDN w:val="0"/>
        <w:spacing w:before="53" w:line="180" w:lineRule="exact"/>
        <w:ind w:left="81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69</w:t>
      </w:r>
    </w:p>
    <w:p>
      <w:pPr>
        <w:framePr w:w="1500" w:x="10789" w:y="54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699,959,577.53</w:t>
      </w:r>
    </w:p>
    <w:p>
      <w:pPr>
        <w:framePr w:w="1500" w:x="10789" w:y="5406"/>
        <w:widowControl w:val="0"/>
        <w:autoSpaceDE w:val="0"/>
        <w:autoSpaceDN w:val="0"/>
        <w:spacing w:before="29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204,618,341.01</w:t>
      </w:r>
    </w:p>
    <w:p>
      <w:pPr>
        <w:framePr w:w="1680" w:x="12741" w:y="54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1,357,256,285.96</w:t>
      </w:r>
    </w:p>
    <w:p>
      <w:pPr>
        <w:framePr w:w="1680" w:x="12741" w:y="5406"/>
        <w:widowControl w:val="0"/>
        <w:autoSpaceDE w:val="0"/>
        <w:autoSpaceDN w:val="0"/>
        <w:spacing w:before="295" w:line="180" w:lineRule="exact"/>
        <w:ind w:left="1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199,920,094.74</w:t>
      </w:r>
    </w:p>
    <w:p>
      <w:pPr>
        <w:framePr w:w="1680" w:x="14865" w:y="54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1,357,256,285.96</w:t>
      </w:r>
    </w:p>
    <w:p>
      <w:pPr>
        <w:framePr w:w="1680" w:x="14865" w:y="5406"/>
        <w:widowControl w:val="0"/>
        <w:autoSpaceDE w:val="0"/>
        <w:autoSpaceDN w:val="0"/>
        <w:spacing w:before="295" w:line="180" w:lineRule="exact"/>
        <w:ind w:left="1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199,920,094.74</w:t>
      </w:r>
    </w:p>
    <w:p>
      <w:pPr>
        <w:framePr w:w="1680" w:x="641" w:y="588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三、本期增减变动</w:t>
      </w:r>
    </w:p>
    <w:p>
      <w:pPr>
        <w:framePr w:w="1680" w:x="641" w:y="5881"/>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金额（减少以</w:t>
      </w:r>
    </w:p>
    <w:p>
      <w:pPr>
        <w:framePr w:w="1680" w:x="641" w:y="5881"/>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“－”号填列）</w:t>
      </w:r>
    </w:p>
    <w:p>
      <w:pPr>
        <w:framePr w:w="1680" w:x="641" w:y="5881"/>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（一）综合收益总</w:t>
      </w:r>
    </w:p>
    <w:p>
      <w:pPr>
        <w:framePr w:w="1680" w:x="641" w:y="5881"/>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额</w:t>
      </w:r>
    </w:p>
    <w:p>
      <w:pPr>
        <w:framePr w:w="1500" w:x="10789" w:y="65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204,618,341.01</w:t>
      </w:r>
    </w:p>
    <w:p>
      <w:pPr>
        <w:framePr w:w="1500" w:x="12921" w:y="65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204,618,341.01</w:t>
      </w:r>
    </w:p>
    <w:p>
      <w:pPr>
        <w:framePr w:w="1500" w:x="15045" w:y="65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204,618,341.01</w:t>
      </w:r>
    </w:p>
    <w:p>
      <w:pPr>
        <w:framePr w:w="1680" w:x="641" w:y="706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（二）所有者投入</w:t>
      </w:r>
    </w:p>
    <w:p>
      <w:pPr>
        <w:framePr w:w="1680" w:x="641" w:y="7069"/>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和减少资本</w:t>
      </w:r>
    </w:p>
    <w:p>
      <w:pPr>
        <w:framePr w:w="1770" w:x="641" w:y="754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6"/>
          <w:sz w:val="18"/>
          <w:szCs w:val="22"/>
          <w:lang w:val="en-US" w:eastAsia="en-US" w:bidi="ar-SA"/>
        </w:rPr>
        <w:t>．所有者投入的普</w:t>
      </w:r>
    </w:p>
    <w:p>
      <w:pPr>
        <w:framePr w:w="1770" w:x="641" w:y="7547"/>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通股</w:t>
      </w:r>
    </w:p>
    <w:p>
      <w:pPr>
        <w:framePr w:w="1770" w:x="641" w:y="802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6"/>
          <w:sz w:val="18"/>
          <w:szCs w:val="22"/>
          <w:lang w:val="en-US" w:eastAsia="en-US" w:bidi="ar-SA"/>
        </w:rPr>
        <w:t>．其他权益工具持</w:t>
      </w:r>
    </w:p>
    <w:p>
      <w:pPr>
        <w:framePr w:w="1770" w:x="641" w:y="8022"/>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有者投入资本</w:t>
      </w:r>
    </w:p>
    <w:p>
      <w:pPr>
        <w:framePr w:w="1770" w:x="641" w:y="8022"/>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pacing w:val="-6"/>
          <w:sz w:val="18"/>
          <w:szCs w:val="22"/>
          <w:lang w:val="en-US" w:eastAsia="en-US" w:bidi="ar-SA"/>
        </w:rPr>
        <w:t>．股份支付计入所</w:t>
      </w:r>
    </w:p>
    <w:p>
      <w:pPr>
        <w:framePr w:w="1770" w:x="641" w:y="802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有者权益的金额</w:t>
      </w:r>
    </w:p>
    <w:p>
      <w:pPr>
        <w:framePr w:w="1770" w:x="641" w:y="8022"/>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1770" w:x="641" w:y="922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（三）利润分配</w:t>
      </w:r>
    </w:p>
    <w:p>
      <w:pPr>
        <w:framePr w:w="1770" w:x="641" w:y="9220"/>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．提取盈余公积</w:t>
      </w:r>
    </w:p>
    <w:p>
      <w:pPr>
        <w:framePr w:w="1770" w:x="641" w:y="9220"/>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6"/>
          <w:sz w:val="18"/>
          <w:szCs w:val="22"/>
          <w:lang w:val="en-US" w:eastAsia="en-US" w:bidi="ar-SA"/>
        </w:rPr>
        <w:t>．提取一般风险准</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212" type="#_x0000_t75" style="width:697.6pt;height:2.7pt;margin-top:54.25pt;margin-left:73.75pt;mso-position-horizontal-relative:page;mso-position-vertical-relative:page;position:absolute;z-index:-251402240">
            <v:imagedata r:id="rId163" o:title=""/>
          </v:shape>
        </w:pict>
      </w:r>
      <w:r>
        <w:rPr>
          <w:noProof/>
        </w:rPr>
        <w:pict>
          <v:shape id="_x0000_s1213" type="#_x0000_t75" style="width:796.5pt;height:434.7pt;margin-top:62.55pt;margin-left:25.3pt;mso-position-horizontal-relative:page;mso-position-vertical-relative:page;position:absolute;z-index:-251580416">
            <v:imagedata r:id="rId164" o:title=""/>
          </v:shape>
        </w:pict>
      </w:r>
    </w:p>
    <w:p>
      <w:pPr>
        <w:spacing w:line="0" w:lineRule="atLeast"/>
        <w:rPr>
          <w:rFonts w:ascii="Arial" w:eastAsiaTheme="minorEastAsia" w:hAnsiTheme="minorHAnsi" w:cstheme="minorBidi"/>
          <w:color w:val="FF0000"/>
          <w:sz w:val="2"/>
          <w:szCs w:val="22"/>
          <w:lang w:val="en-US" w:eastAsia="en-US" w:bidi="ar-SA"/>
        </w:rPr>
      </w:pPr>
      <w:bookmarkStart w:id="77" w:name="br1_76"/>
      <w:bookmarkEnd w:id="77"/>
      <w:r>
        <w:rPr>
          <w:rFonts w:ascii="Arial" w:eastAsiaTheme="minorEastAsia" w:hAnsiTheme="minorHAnsi" w:cstheme="minorBidi"/>
          <w:color w:val="FF0000"/>
          <w:sz w:val="2"/>
          <w:szCs w:val="22"/>
          <w:lang w:val="en-US" w:eastAsia="en-US" w:bidi="ar-SA"/>
        </w:rPr>
        <w:t xml:space="preserve"> </w:t>
      </w:r>
    </w:p>
    <w:p>
      <w:pPr>
        <w:framePr w:w="1550" w:x="7796" w:y="85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420" w:x="641" w:y="130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备</w:t>
      </w:r>
    </w:p>
    <w:p>
      <w:pPr>
        <w:framePr w:w="1770" w:x="641" w:y="154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pacing w:val="-6"/>
          <w:sz w:val="18"/>
          <w:szCs w:val="22"/>
          <w:lang w:val="en-US" w:eastAsia="en-US" w:bidi="ar-SA"/>
        </w:rPr>
        <w:t>．对所有者（或股</w:t>
      </w:r>
    </w:p>
    <w:p>
      <w:pPr>
        <w:framePr w:w="1770" w:x="641" w:y="1548"/>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东）的分配</w:t>
      </w:r>
    </w:p>
    <w:p>
      <w:pPr>
        <w:framePr w:w="871" w:x="641" w:y="202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1680" w:x="641" w:y="226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（四）所有者权益</w:t>
      </w:r>
    </w:p>
    <w:p>
      <w:pPr>
        <w:framePr w:w="1680" w:x="641" w:y="2268"/>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内部结转</w:t>
      </w:r>
    </w:p>
    <w:p>
      <w:pPr>
        <w:framePr w:w="1770" w:x="641" w:y="27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6"/>
          <w:sz w:val="18"/>
          <w:szCs w:val="22"/>
          <w:lang w:val="en-US" w:eastAsia="en-US" w:bidi="ar-SA"/>
        </w:rPr>
        <w:t>．资本公积转增资</w:t>
      </w:r>
    </w:p>
    <w:p>
      <w:pPr>
        <w:framePr w:w="1770" w:x="641" w:y="274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本（或股本）</w:t>
      </w:r>
    </w:p>
    <w:p>
      <w:pPr>
        <w:framePr w:w="1770" w:x="641" w:y="2746"/>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6"/>
          <w:sz w:val="18"/>
          <w:szCs w:val="22"/>
          <w:lang w:val="en-US" w:eastAsia="en-US" w:bidi="ar-SA"/>
        </w:rPr>
        <w:t>．盈余公积转增资</w:t>
      </w:r>
    </w:p>
    <w:p>
      <w:pPr>
        <w:framePr w:w="1770" w:x="641" w:y="274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本（或股本）</w:t>
      </w:r>
    </w:p>
    <w:p>
      <w:pPr>
        <w:framePr w:w="1770" w:x="641" w:y="2746"/>
        <w:widowControl w:val="0"/>
        <w:autoSpaceDE w:val="0"/>
        <w:autoSpaceDN w:val="0"/>
        <w:spacing w:before="63"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pacing w:val="-6"/>
          <w:sz w:val="18"/>
          <w:szCs w:val="22"/>
          <w:lang w:val="en-US" w:eastAsia="en-US" w:bidi="ar-SA"/>
        </w:rPr>
        <w:t>．盈余公积弥补亏</w:t>
      </w:r>
    </w:p>
    <w:p>
      <w:pPr>
        <w:framePr w:w="1770" w:x="641" w:y="2746"/>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损</w:t>
      </w:r>
    </w:p>
    <w:p>
      <w:pPr>
        <w:framePr w:w="1770" w:x="641" w:y="417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pacing w:val="-6"/>
          <w:sz w:val="18"/>
          <w:szCs w:val="22"/>
          <w:lang w:val="en-US" w:eastAsia="en-US" w:bidi="ar-SA"/>
        </w:rPr>
        <w:t>．设定受益计划变</w:t>
      </w:r>
    </w:p>
    <w:p>
      <w:pPr>
        <w:framePr w:w="1770" w:x="641" w:y="4177"/>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动额结转留存收益</w:t>
      </w:r>
    </w:p>
    <w:p>
      <w:pPr>
        <w:framePr w:w="1770" w:x="641" w:y="4177"/>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w:t>
      </w:r>
      <w:r>
        <w:rPr>
          <w:rFonts w:ascii="SimSun" w:hAnsi="SimSun" w:eastAsiaTheme="minorEastAsia" w:cs="SimSun"/>
          <w:color w:val="000000"/>
          <w:spacing w:val="-6"/>
          <w:sz w:val="18"/>
          <w:szCs w:val="22"/>
          <w:lang w:val="en-US" w:eastAsia="en-US" w:bidi="ar-SA"/>
        </w:rPr>
        <w:t>．其他综合收益结</w:t>
      </w:r>
    </w:p>
    <w:p>
      <w:pPr>
        <w:framePr w:w="1770" w:x="641" w:y="4177"/>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转留存收益</w:t>
      </w:r>
    </w:p>
    <w:p>
      <w:pPr>
        <w:framePr w:w="871" w:x="641" w:y="513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w:t>
      </w:r>
      <w:r>
        <w:rPr>
          <w:rFonts w:ascii="SimSun" w:hAnsi="SimSun" w:eastAsiaTheme="minorEastAsia" w:cs="SimSun"/>
          <w:color w:val="000000"/>
          <w:sz w:val="18"/>
          <w:szCs w:val="22"/>
          <w:lang w:val="en-US" w:eastAsia="en-US" w:bidi="ar-SA"/>
        </w:rPr>
        <w:t>．其他</w:t>
      </w:r>
    </w:p>
    <w:p>
      <w:pPr>
        <w:framePr w:w="1500" w:x="641" w:y="537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（五）专项储备</w:t>
      </w:r>
    </w:p>
    <w:p>
      <w:pPr>
        <w:framePr w:w="1500" w:x="641" w:y="5374"/>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．本期提取</w:t>
      </w:r>
    </w:p>
    <w:p>
      <w:pPr>
        <w:framePr w:w="1500" w:x="641" w:y="5374"/>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．本期使用</w:t>
      </w:r>
    </w:p>
    <w:p>
      <w:pPr>
        <w:framePr w:w="1500" w:x="641" w:y="5374"/>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（六）其他</w:t>
      </w:r>
    </w:p>
    <w:p>
      <w:pPr>
        <w:framePr w:w="1411" w:x="7585" w:y="5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-4,698,246.27</w:t>
      </w:r>
    </w:p>
    <w:p>
      <w:pPr>
        <w:framePr w:w="1411" w:x="7585" w:y="537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13,582,035.32</w:t>
      </w:r>
    </w:p>
    <w:p>
      <w:pPr>
        <w:framePr w:w="1411" w:x="7585" w:y="5374"/>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18,280,281.59</w:t>
      </w:r>
    </w:p>
    <w:p>
      <w:pPr>
        <w:framePr w:w="1411" w:x="12693" w:y="5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-4,698,246.27</w:t>
      </w:r>
    </w:p>
    <w:p>
      <w:pPr>
        <w:framePr w:w="1411" w:x="12693" w:y="537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13,582,035.32</w:t>
      </w:r>
    </w:p>
    <w:p>
      <w:pPr>
        <w:framePr w:w="1411" w:x="12693" w:y="5374"/>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18,280,281.59</w:t>
      </w:r>
    </w:p>
    <w:p>
      <w:pPr>
        <w:framePr w:w="1411" w:x="14824" w:y="537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-4,698,246.27</w:t>
      </w:r>
    </w:p>
    <w:p>
      <w:pPr>
        <w:framePr w:w="1411" w:x="14824" w:y="537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13,582,035.32</w:t>
      </w:r>
    </w:p>
    <w:p>
      <w:pPr>
        <w:framePr w:w="1411" w:x="14824" w:y="5374"/>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18,280,281.59</w:t>
      </w:r>
    </w:p>
    <w:p>
      <w:pPr>
        <w:framePr w:w="1680" w:x="641" w:y="634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四、本期期末余额</w:t>
      </w:r>
    </w:p>
    <w:p>
      <w:pPr>
        <w:framePr w:w="1500" w:x="2420" w:y="634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2" w:x="5117" w:y="634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445,021,562.58</w:t>
      </w:r>
    </w:p>
    <w:p>
      <w:pPr>
        <w:framePr w:w="1411" w:x="7614" w:y="634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39,032,613.89</w:t>
      </w:r>
    </w:p>
    <w:p>
      <w:pPr>
        <w:framePr w:w="1232" w:x="9071" w:y="634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56,544,285.</w:t>
      </w:r>
    </w:p>
    <w:p>
      <w:pPr>
        <w:framePr w:w="1232" w:x="9071" w:y="6349"/>
        <w:widowControl w:val="0"/>
        <w:autoSpaceDE w:val="0"/>
        <w:autoSpaceDN w:val="0"/>
        <w:spacing w:before="53" w:line="180" w:lineRule="exact"/>
        <w:ind w:left="81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69</w:t>
      </w:r>
    </w:p>
    <w:p>
      <w:pPr>
        <w:framePr w:w="1500" w:x="10789" w:y="634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904,577,918.54</w:t>
      </w:r>
    </w:p>
    <w:p>
      <w:pPr>
        <w:framePr w:w="1680" w:x="12741" w:y="634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1,557,176,380.70</w:t>
      </w:r>
    </w:p>
    <w:p>
      <w:pPr>
        <w:framePr w:w="1680" w:x="14865" w:y="634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1,557,176,380.70</w:t>
      </w:r>
    </w:p>
    <w:p>
      <w:pPr>
        <w:framePr w:w="2141" w:x="1524" w:y="6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法定代表人：王现全</w:t>
      </w:r>
    </w:p>
    <w:p>
      <w:pPr>
        <w:framePr w:w="2986" w:x="7271" w:y="6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主管会计工作负责人：江广同</w:t>
      </w:r>
    </w:p>
    <w:p>
      <w:pPr>
        <w:framePr w:w="2563" w:x="13123" w:y="6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会计机构负责人：江广同</w:t>
      </w:r>
    </w:p>
    <w:p>
      <w:pPr>
        <w:framePr w:w="2563" w:x="7290" w:y="76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母公司所有者权益变动表</w:t>
      </w:r>
    </w:p>
    <w:p>
      <w:pPr>
        <w:framePr w:w="1764" w:x="7688" w:y="79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p>
    <w:p>
      <w:pPr>
        <w:framePr w:w="2342" w:x="13298" w:y="81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1008" w:x="9834" w:y="846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2020</w:t>
      </w:r>
      <w:r>
        <w:rPr>
          <w:rFonts w:ascii="SimSun" w:hAnsi="SimSun" w:eastAsiaTheme="minorEastAsia" w:cs="SimSun"/>
          <w:color w:val="000000"/>
          <w:sz w:val="18"/>
          <w:szCs w:val="22"/>
          <w:lang w:val="en-US" w:eastAsia="en-US" w:bidi="ar-SA"/>
        </w:rPr>
        <w:t>年度</w:t>
      </w:r>
    </w:p>
    <w:p>
      <w:pPr>
        <w:framePr w:w="1140" w:x="5823" w:y="871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其他权益工</w:t>
      </w:r>
    </w:p>
    <w:p>
      <w:pPr>
        <w:framePr w:w="1140" w:x="5823" w:y="8714"/>
        <w:widowControl w:val="0"/>
        <w:autoSpaceDE w:val="0"/>
        <w:autoSpaceDN w:val="0"/>
        <w:spacing w:before="53" w:line="180" w:lineRule="exact"/>
        <w:ind w:left="36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具</w:t>
      </w:r>
    </w:p>
    <w:p>
      <w:pPr>
        <w:framePr w:w="420" w:x="9940" w:y="871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9940" w:y="871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9940" w:y="871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综</w:t>
      </w:r>
    </w:p>
    <w:p>
      <w:pPr>
        <w:framePr w:w="420" w:x="9940" w:y="8714"/>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w:t>
      </w:r>
    </w:p>
    <w:p>
      <w:pPr>
        <w:framePr w:w="420" w:x="9940" w:y="871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w:t>
      </w:r>
    </w:p>
    <w:p>
      <w:pPr>
        <w:framePr w:w="420" w:x="9940" w:y="871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600" w:x="2045" w:y="917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1502" w:x="4148" w:y="917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实收资本</w:t>
      </w:r>
      <w:r>
        <w:rPr>
          <w:rFonts w:eastAsiaTheme="minorEastAsia" w:hAnsiTheme="minorHAnsi" w:cstheme="minorBidi"/>
          <w:color w:val="000000"/>
          <w:spacing w:val="46"/>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w:t>
      </w:r>
      <w:r>
        <w:rPr>
          <w:rFonts w:ascii="SimSun" w:hAnsi="SimSun" w:eastAsiaTheme="minorEastAsia" w:cs="SimSun"/>
          <w:color w:val="000000"/>
          <w:sz w:val="18"/>
          <w:szCs w:val="22"/>
          <w:lang w:val="en-US" w:eastAsia="en-US" w:bidi="ar-SA"/>
        </w:rPr>
        <w:t>或股</w:t>
      </w:r>
    </w:p>
    <w:p>
      <w:pPr>
        <w:framePr w:w="1502" w:x="4148" w:y="9179"/>
        <w:widowControl w:val="0"/>
        <w:autoSpaceDE w:val="0"/>
        <w:autoSpaceDN w:val="0"/>
        <w:spacing w:before="55" w:line="180" w:lineRule="exact"/>
        <w:ind w:left="494"/>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r>
        <w:rPr>
          <w:rFonts w:ascii="SimSun" w:eastAsiaTheme="minorEastAsia" w:hAnsiTheme="minorHAnsi" w:cstheme="minorBidi"/>
          <w:color w:val="000000"/>
          <w:sz w:val="18"/>
          <w:szCs w:val="22"/>
          <w:lang w:val="en-US" w:eastAsia="en-US" w:bidi="ar-SA"/>
        </w:rPr>
        <w:t>)</w:t>
      </w:r>
    </w:p>
    <w:p>
      <w:pPr>
        <w:framePr w:w="420" w:x="5751" w:y="930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优</w:t>
      </w:r>
    </w:p>
    <w:p>
      <w:pPr>
        <w:framePr w:w="420" w:x="5751" w:y="930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先</w:t>
      </w:r>
    </w:p>
    <w:p>
      <w:pPr>
        <w:framePr w:w="420" w:x="5751" w:y="9302"/>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420" w:x="6179" w:y="930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永</w:t>
      </w:r>
    </w:p>
    <w:p>
      <w:pPr>
        <w:framePr w:w="420" w:x="6179" w:y="930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续</w:t>
      </w:r>
    </w:p>
    <w:p>
      <w:pPr>
        <w:framePr w:w="420" w:x="6179" w:y="9302"/>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债</w:t>
      </w:r>
    </w:p>
    <w:p>
      <w:pPr>
        <w:framePr w:w="960" w:x="7403" w:y="929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资本公积</w:t>
      </w:r>
    </w:p>
    <w:p>
      <w:pPr>
        <w:framePr w:w="1140" w:x="8730" w:y="929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减：库存股</w:t>
      </w:r>
    </w:p>
    <w:p>
      <w:pPr>
        <w:framePr w:w="960" w:x="10662" w:y="929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专项储备</w:t>
      </w:r>
    </w:p>
    <w:p>
      <w:pPr>
        <w:framePr w:w="960" w:x="12081" w:y="929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盈余公积</w:t>
      </w:r>
    </w:p>
    <w:p>
      <w:pPr>
        <w:framePr w:w="1140" w:x="13480" w:y="929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未分配利润</w:t>
      </w:r>
    </w:p>
    <w:p>
      <w:pPr>
        <w:framePr w:w="1500" w:x="14930" w:y="929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所有者权益合计</w:t>
      </w:r>
    </w:p>
    <w:p>
      <w:pPr>
        <w:framePr w:w="420" w:x="6611" w:y="941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6611" w:y="9419"/>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214" type="#_x0000_t75" style="width:697.6pt;height:2.7pt;margin-top:54.25pt;margin-left:73.75pt;mso-position-horizontal-relative:page;mso-position-vertical-relative:page;position:absolute;z-index:-251286528">
            <v:imagedata r:id="rId165" o:title=""/>
          </v:shape>
        </w:pict>
      </w:r>
      <w:r>
        <w:rPr>
          <w:noProof/>
        </w:rPr>
        <w:pict>
          <v:shape id="_x0000_s1215" type="#_x0000_t75" style="width:796.5pt;height:278.4pt;margin-top:62.55pt;margin-left:25.3pt;mso-position-horizontal-relative:page;mso-position-vertical-relative:page;position:absolute;z-index:-251401216">
            <v:imagedata r:id="rId166" o:title=""/>
          </v:shape>
        </w:pict>
      </w:r>
      <w:r>
        <w:rPr>
          <w:noProof/>
        </w:rPr>
        <w:pict>
          <v:shape id="_x0000_s1216" type="#_x0000_t75" style="width:796.5pt;height:85.3pt;margin-top:420.65pt;margin-left:25.3pt;mso-position-horizontal-relative:page;mso-position-vertical-relative:page;position:absolute;z-index:-251579392">
            <v:imagedata r:id="rId167" o:title=""/>
          </v:shape>
        </w:pict>
      </w:r>
    </w:p>
    <w:p>
      <w:pPr>
        <w:spacing w:line="0" w:lineRule="atLeast"/>
        <w:rPr>
          <w:rFonts w:ascii="Arial" w:eastAsiaTheme="minorEastAsia" w:hAnsiTheme="minorHAnsi" w:cstheme="minorBidi"/>
          <w:color w:val="FF0000"/>
          <w:sz w:val="2"/>
          <w:szCs w:val="22"/>
          <w:lang w:val="en-US" w:eastAsia="en-US" w:bidi="ar-SA"/>
        </w:rPr>
      </w:pPr>
      <w:bookmarkStart w:id="78" w:name="br1_77"/>
      <w:bookmarkEnd w:id="78"/>
      <w:r>
        <w:rPr>
          <w:rFonts w:ascii="Arial" w:eastAsiaTheme="minorEastAsia" w:hAnsiTheme="minorHAnsi" w:cstheme="minorBidi"/>
          <w:color w:val="FF0000"/>
          <w:sz w:val="2"/>
          <w:szCs w:val="22"/>
          <w:lang w:val="en-US" w:eastAsia="en-US" w:bidi="ar-SA"/>
        </w:rPr>
        <w:t xml:space="preserve"> </w:t>
      </w:r>
    </w:p>
    <w:p>
      <w:pPr>
        <w:framePr w:w="2100" w:x="7247" w:y="859"/>
        <w:widowControl w:val="0"/>
        <w:autoSpaceDE w:val="0"/>
        <w:autoSpaceDN w:val="0"/>
        <w:spacing w:line="220" w:lineRule="exact"/>
        <w:ind w:left="550"/>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100" w:x="7247" w:y="859"/>
        <w:widowControl w:val="0"/>
        <w:autoSpaceDE w:val="0"/>
        <w:autoSpaceDN w:val="0"/>
        <w:spacing w:before="22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1740" w:x="641" w:y="130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一、上年年末余额</w:t>
      </w:r>
    </w:p>
    <w:p>
      <w:pPr>
        <w:framePr w:w="1740" w:x="641" w:y="1306"/>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加：会计政策变更</w:t>
      </w:r>
    </w:p>
    <w:p>
      <w:pPr>
        <w:framePr w:w="1740" w:x="641" w:y="1306"/>
        <w:widowControl w:val="0"/>
        <w:autoSpaceDE w:val="0"/>
        <w:autoSpaceDN w:val="0"/>
        <w:spacing w:before="65" w:line="180" w:lineRule="exact"/>
        <w:ind w:left="42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前期差错更正</w:t>
      </w:r>
    </w:p>
    <w:p>
      <w:pPr>
        <w:framePr w:w="1500" w:x="4268" w:y="13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2832" w:x="10451" w:y="13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31,262,063.52</w:t>
      </w:r>
      <w:r>
        <w:rPr>
          <w:rFonts w:ascii="SimSun" w:eastAsiaTheme="minorEastAsia" w:hAnsiTheme="minorHAnsi" w:cstheme="minorBidi"/>
          <w:color w:val="000000"/>
          <w:spacing w:val="159"/>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2832" w:x="10451" w:y="1306"/>
        <w:widowControl w:val="0"/>
        <w:autoSpaceDE w:val="0"/>
        <w:autoSpaceDN w:val="0"/>
        <w:spacing w:before="794"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31,262,063.52</w:t>
      </w:r>
      <w:r>
        <w:rPr>
          <w:rFonts w:ascii="SimSun" w:eastAsiaTheme="minorEastAsia" w:hAnsiTheme="minorHAnsi" w:cstheme="minorBidi"/>
          <w:color w:val="000000"/>
          <w:spacing w:val="159"/>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3199" w:x="13344" w:y="130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702,310,101.88</w:t>
      </w:r>
      <w:r>
        <w:rPr>
          <w:rFonts w:ascii="SimSun" w:eastAsiaTheme="minorEastAsia" w:hAnsiTheme="minorHAnsi" w:cstheme="minorBidi"/>
          <w:color w:val="000000"/>
          <w:spacing w:val="169"/>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1,350,087,637.28</w:t>
      </w:r>
    </w:p>
    <w:p>
      <w:pPr>
        <w:framePr w:w="3199" w:x="13344" w:y="1306"/>
        <w:widowControl w:val="0"/>
        <w:autoSpaceDE w:val="0"/>
        <w:autoSpaceDN w:val="0"/>
        <w:spacing w:before="794"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702,310,101.88</w:t>
      </w:r>
      <w:r>
        <w:rPr>
          <w:rFonts w:ascii="SimSun" w:eastAsiaTheme="minorEastAsia" w:hAnsiTheme="minorHAnsi" w:cstheme="minorBidi"/>
          <w:color w:val="000000"/>
          <w:spacing w:val="169"/>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1,350,087,637.28</w:t>
      </w:r>
    </w:p>
    <w:p>
      <w:pPr>
        <w:framePr w:w="600" w:x="1061" w:y="203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3480" w:x="641" w:y="228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二、本年期初余额</w:t>
      </w:r>
    </w:p>
    <w:p>
      <w:pPr>
        <w:framePr w:w="3480" w:x="641" w:y="2280"/>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三、本期增减变动金额（减少以“－”号</w:t>
      </w:r>
    </w:p>
    <w:p>
      <w:pPr>
        <w:framePr w:w="3480" w:x="641" w:y="2280"/>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填列）</w:t>
      </w:r>
    </w:p>
    <w:p>
      <w:pPr>
        <w:framePr w:w="1500" w:x="4268" w:y="228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4268" w:y="2280"/>
        <w:widowControl w:val="0"/>
        <w:autoSpaceDE w:val="0"/>
        <w:autoSpaceDN w:val="0"/>
        <w:spacing w:before="62" w:line="180" w:lineRule="exact"/>
        <w:ind w:left="89"/>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46,490,000.00</w:t>
      </w:r>
    </w:p>
    <w:p>
      <w:pPr>
        <w:framePr w:w="1500" w:x="7247" w:y="228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2634" w:x="7247" w:y="252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-29,477,800.00</w:t>
      </w:r>
      <w:r>
        <w:rPr>
          <w:rFonts w:ascii="SimSun" w:eastAsiaTheme="minorEastAsia" w:hAnsiTheme="minorHAnsi" w:cstheme="minorBidi"/>
          <w:color w:val="000000"/>
          <w:spacing w:val="14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13,367,900</w:t>
      </w:r>
    </w:p>
    <w:p>
      <w:pPr>
        <w:framePr w:w="2634" w:x="7247" w:y="2523"/>
        <w:widowControl w:val="0"/>
        <w:autoSpaceDE w:val="0"/>
        <w:autoSpaceDN w:val="0"/>
        <w:spacing w:before="53" w:line="180" w:lineRule="exact"/>
        <w:ind w:left="212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1320" w:x="10540" w:y="252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2,303,478.85</w:t>
      </w:r>
    </w:p>
    <w:p>
      <w:pPr>
        <w:framePr w:w="1320" w:x="11963" w:y="252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6,534,040.33</w:t>
      </w:r>
    </w:p>
    <w:p>
      <w:pPr>
        <w:framePr w:w="1411" w:x="13432" w:y="252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25,206,362.92</w:t>
      </w:r>
    </w:p>
    <w:p>
      <w:pPr>
        <w:framePr w:w="1411" w:x="15132" w:y="252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37,688,182.10</w:t>
      </w:r>
    </w:p>
    <w:p>
      <w:pPr>
        <w:framePr w:w="2580" w:x="641" w:y="300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（一）综合收益总额</w:t>
      </w:r>
    </w:p>
    <w:p>
      <w:pPr>
        <w:framePr w:w="2580" w:x="641" w:y="3000"/>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（二）所有者投入和减少资本</w:t>
      </w:r>
    </w:p>
    <w:p>
      <w:pPr>
        <w:framePr w:w="1411" w:x="13432" w:y="300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65,340,403.25</w:t>
      </w:r>
    </w:p>
    <w:p>
      <w:pPr>
        <w:framePr w:w="1411" w:x="15132" w:y="300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65,340,403.25</w:t>
      </w:r>
    </w:p>
    <w:p>
      <w:pPr>
        <w:framePr w:w="1411" w:x="15132" w:y="3000"/>
        <w:widowControl w:val="0"/>
        <w:autoSpaceDE w:val="0"/>
        <w:autoSpaceDN w:val="0"/>
        <w:spacing w:before="62" w:line="180" w:lineRule="exact"/>
        <w:ind w:left="9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3,644,300.00</w:t>
      </w:r>
    </w:p>
    <w:p>
      <w:pPr>
        <w:framePr w:w="1320" w:x="4448" w:y="324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1,690,000.00</w:t>
      </w:r>
    </w:p>
    <w:p>
      <w:pPr>
        <w:framePr w:w="1320" w:x="4448" w:y="3243"/>
        <w:widowControl w:val="0"/>
        <w:autoSpaceDE w:val="0"/>
        <w:autoSpaceDN w:val="0"/>
        <w:spacing w:before="29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1,690,000.00</w:t>
      </w:r>
    </w:p>
    <w:p>
      <w:pPr>
        <w:framePr w:w="2544" w:x="7335" w:y="324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15,322,200.00</w:t>
      </w:r>
      <w:r>
        <w:rPr>
          <w:rFonts w:ascii="SimSun" w:eastAsiaTheme="minorEastAsia" w:hAnsiTheme="minorHAnsi" w:cstheme="minorBidi"/>
          <w:color w:val="000000"/>
          <w:spacing w:val="14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13,367,900</w:t>
      </w:r>
    </w:p>
    <w:p>
      <w:pPr>
        <w:framePr w:w="2546" w:x="7335" w:y="3475"/>
        <w:widowControl w:val="0"/>
        <w:autoSpaceDE w:val="0"/>
        <w:autoSpaceDN w:val="0"/>
        <w:spacing w:line="180" w:lineRule="exact"/>
        <w:ind w:left="2033"/>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2546" w:x="7335" w:y="3475"/>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11,677,900.00</w:t>
      </w:r>
      <w:r>
        <w:rPr>
          <w:rFonts w:ascii="SimSun" w:eastAsiaTheme="minorEastAsia" w:hAnsiTheme="minorHAnsi" w:cstheme="minorBidi"/>
          <w:color w:val="000000"/>
          <w:spacing w:val="14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13,367,900</w:t>
      </w:r>
    </w:p>
    <w:p>
      <w:pPr>
        <w:framePr w:w="2546" w:x="7335" w:y="3475"/>
        <w:widowControl w:val="0"/>
        <w:autoSpaceDE w:val="0"/>
        <w:autoSpaceDN w:val="0"/>
        <w:spacing w:before="53" w:line="180" w:lineRule="exact"/>
        <w:ind w:left="2033"/>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2131" w:x="641" w:y="372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．所有者投入的普通股</w:t>
      </w:r>
    </w:p>
    <w:p>
      <w:pPr>
        <w:framePr w:w="3031" w:x="641" w:y="419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．其他权益工具持有者投入资本</w:t>
      </w:r>
    </w:p>
    <w:p>
      <w:pPr>
        <w:framePr w:w="3031" w:x="641" w:y="4198"/>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．股份支付计入所有者权益的金额</w:t>
      </w:r>
    </w:p>
    <w:p>
      <w:pPr>
        <w:framePr w:w="3031" w:x="641" w:y="4198"/>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1320" w:x="7427" w:y="444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3,644,300.00</w:t>
      </w:r>
    </w:p>
    <w:p>
      <w:pPr>
        <w:framePr w:w="1500" w:x="15043" w:y="4441"/>
        <w:widowControl w:val="0"/>
        <w:autoSpaceDE w:val="0"/>
        <w:autoSpaceDN w:val="0"/>
        <w:spacing w:line="180" w:lineRule="exact"/>
        <w:ind w:left="1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3,644,300.00</w:t>
      </w:r>
    </w:p>
    <w:p>
      <w:pPr>
        <w:framePr w:w="1500" w:x="15043" w:y="4441"/>
        <w:widowControl w:val="0"/>
        <w:autoSpaceDE w:val="0"/>
        <w:autoSpaceDN w:val="0"/>
        <w:spacing w:before="30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500" w:x="15043" w:y="4441"/>
        <w:widowControl w:val="0"/>
        <w:autoSpaceDE w:val="0"/>
        <w:autoSpaceDN w:val="0"/>
        <w:spacing w:before="30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500" w:x="641" w:y="492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（三）利润分配</w:t>
      </w:r>
    </w:p>
    <w:p>
      <w:pPr>
        <w:framePr w:w="1320" w:x="11963" w:y="492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6,534,040.33</w:t>
      </w:r>
    </w:p>
    <w:p>
      <w:pPr>
        <w:framePr w:w="1320" w:x="11963" w:y="4928"/>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6,534,040.33</w:t>
      </w:r>
    </w:p>
    <w:p>
      <w:pPr>
        <w:framePr w:w="1500" w:x="13344" w:y="492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-40,134,040.33</w:t>
      </w:r>
    </w:p>
    <w:p>
      <w:pPr>
        <w:framePr w:w="1500" w:x="13344" w:y="4928"/>
        <w:widowControl w:val="0"/>
        <w:autoSpaceDE w:val="0"/>
        <w:autoSpaceDN w:val="0"/>
        <w:spacing w:before="62" w:line="180" w:lineRule="exact"/>
        <w:ind w:left="89"/>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-6,534,040.33</w:t>
      </w:r>
    </w:p>
    <w:p>
      <w:pPr>
        <w:framePr w:w="1500" w:x="13344" w:y="4928"/>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591" w:x="641" w:y="517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．提取盈余公积</w:t>
      </w:r>
    </w:p>
    <w:p>
      <w:pPr>
        <w:framePr w:w="2671" w:x="641" w:y="541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．对所有者（或股东）的分配</w:t>
      </w:r>
    </w:p>
    <w:p>
      <w:pPr>
        <w:framePr w:w="2671" w:x="641" w:y="5415"/>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．其他</w:t>
      </w:r>
    </w:p>
    <w:p>
      <w:pPr>
        <w:framePr w:w="3211" w:x="641" w:y="590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（四）所有者权益内部结转</w:t>
      </w:r>
    </w:p>
    <w:p>
      <w:pPr>
        <w:framePr w:w="3211" w:x="641" w:y="5902"/>
        <w:widowControl w:val="0"/>
        <w:autoSpaceDE w:val="0"/>
        <w:autoSpaceDN w:val="0"/>
        <w:spacing w:before="63"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．资本公积转增资本（或股本）</w:t>
      </w:r>
    </w:p>
    <w:p>
      <w:pPr>
        <w:framePr w:w="3211" w:x="641" w:y="5902"/>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．盈余公积转增资本（或股本）</w:t>
      </w:r>
    </w:p>
    <w:p>
      <w:pPr>
        <w:framePr w:w="3211" w:x="641" w:y="5902"/>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．盈余公积弥补亏损</w:t>
      </w:r>
    </w:p>
    <w:p>
      <w:pPr>
        <w:framePr w:w="3211" w:x="641" w:y="5902"/>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．设定受益计划变动额结转留存收益</w:t>
      </w:r>
    </w:p>
    <w:p>
      <w:pPr>
        <w:framePr w:w="3211" w:x="641" w:y="5902"/>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w:t>
      </w:r>
      <w:r>
        <w:rPr>
          <w:rFonts w:ascii="SimSun" w:hAnsi="SimSun" w:eastAsiaTheme="minorEastAsia" w:cs="SimSun"/>
          <w:color w:val="000000"/>
          <w:sz w:val="18"/>
          <w:szCs w:val="22"/>
          <w:lang w:val="en-US" w:eastAsia="en-US" w:bidi="ar-SA"/>
        </w:rPr>
        <w:t>．其他综合收益结转留存收益</w:t>
      </w:r>
    </w:p>
    <w:p>
      <w:pPr>
        <w:framePr w:w="3211" w:x="641" w:y="5902"/>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w:t>
      </w:r>
      <w:r>
        <w:rPr>
          <w:rFonts w:ascii="SimSun" w:hAnsi="SimSun" w:eastAsiaTheme="minorEastAsia" w:cs="SimSun"/>
          <w:color w:val="000000"/>
          <w:sz w:val="18"/>
          <w:szCs w:val="22"/>
          <w:lang w:val="en-US" w:eastAsia="en-US" w:bidi="ar-SA"/>
        </w:rPr>
        <w:t>．其他</w:t>
      </w:r>
    </w:p>
    <w:p>
      <w:pPr>
        <w:framePr w:w="1411" w:x="4356" w:y="590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411" w:x="4356" w:y="5902"/>
        <w:widowControl w:val="0"/>
        <w:autoSpaceDE w:val="0"/>
        <w:autoSpaceDN w:val="0"/>
        <w:spacing w:before="63"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500" w:x="7244" w:y="590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500" w:x="7244" w:y="5902"/>
        <w:widowControl w:val="0"/>
        <w:autoSpaceDE w:val="0"/>
        <w:autoSpaceDN w:val="0"/>
        <w:spacing w:before="63"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500" w:x="641" w:y="760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（五）专项储备</w:t>
      </w:r>
    </w:p>
    <w:p>
      <w:pPr>
        <w:framePr w:w="1320" w:x="10540" w:y="760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2,303,478.85</w:t>
      </w:r>
    </w:p>
    <w:p>
      <w:pPr>
        <w:framePr w:w="1320" w:x="10540" w:y="7607"/>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7,227,717.58</w:t>
      </w:r>
    </w:p>
    <w:p>
      <w:pPr>
        <w:framePr w:w="1320" w:x="10540" w:y="7607"/>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4,924,238.73</w:t>
      </w:r>
    </w:p>
    <w:p>
      <w:pPr>
        <w:framePr w:w="1320" w:x="15223" w:y="760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2,303,478.85</w:t>
      </w:r>
    </w:p>
    <w:p>
      <w:pPr>
        <w:framePr w:w="1320" w:x="15223" w:y="7607"/>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7,227,717.58</w:t>
      </w:r>
    </w:p>
    <w:p>
      <w:pPr>
        <w:framePr w:w="1320" w:x="15223" w:y="7607"/>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4,924,238.73</w:t>
      </w:r>
    </w:p>
    <w:p>
      <w:pPr>
        <w:framePr w:w="1231" w:x="641" w:y="784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．本期提取</w:t>
      </w:r>
    </w:p>
    <w:p>
      <w:pPr>
        <w:framePr w:w="1231" w:x="641" w:y="809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．本期使用</w:t>
      </w:r>
    </w:p>
    <w:p>
      <w:pPr>
        <w:framePr w:w="1140" w:x="641" w:y="833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（六）其他</w:t>
      </w:r>
    </w:p>
    <w:p>
      <w:pPr>
        <w:framePr w:w="1680" w:x="641" w:y="857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四、本期期末余额</w:t>
      </w:r>
    </w:p>
    <w:p>
      <w:pPr>
        <w:framePr w:w="1500" w:x="4268" w:y="857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158,490,000.00</w:t>
      </w:r>
    </w:p>
    <w:p>
      <w:pPr>
        <w:framePr w:w="2634" w:x="7247" w:y="857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419,037,671.88</w:t>
      </w:r>
      <w:r>
        <w:rPr>
          <w:rFonts w:ascii="SimSun" w:eastAsiaTheme="minorEastAsia" w:hAnsiTheme="minorHAnsi" w:cstheme="minorBidi"/>
          <w:color w:val="000000"/>
          <w:spacing w:val="14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13,367,900</w:t>
      </w:r>
    </w:p>
    <w:p>
      <w:pPr>
        <w:framePr w:w="2634" w:x="7247" w:y="8579"/>
        <w:widowControl w:val="0"/>
        <w:autoSpaceDE w:val="0"/>
        <w:autoSpaceDN w:val="0"/>
        <w:spacing w:before="56" w:line="180" w:lineRule="exact"/>
        <w:ind w:left="212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2832" w:x="10451" w:y="857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33,565,542.37</w:t>
      </w:r>
      <w:r>
        <w:rPr>
          <w:rFonts w:ascii="SimSun" w:eastAsiaTheme="minorEastAsia" w:hAnsiTheme="minorHAnsi" w:cstheme="minorBidi"/>
          <w:color w:val="000000"/>
          <w:spacing w:val="159"/>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62,534,040.33</w:t>
      </w:r>
    </w:p>
    <w:p>
      <w:pPr>
        <w:framePr w:w="3199" w:x="13344" w:y="857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727,516,464.80</w:t>
      </w:r>
      <w:r>
        <w:rPr>
          <w:rFonts w:ascii="SimSun" w:eastAsiaTheme="minorEastAsia" w:hAnsiTheme="minorHAnsi" w:cstheme="minorBidi"/>
          <w:color w:val="000000"/>
          <w:spacing w:val="169"/>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1,387,775,819.38</w:t>
      </w:r>
    </w:p>
    <w:p>
      <w:pPr>
        <w:framePr w:w="600" w:x="2045" w:y="961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1006" w:x="9829" w:y="961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2019</w:t>
      </w:r>
      <w:r>
        <w:rPr>
          <w:rFonts w:ascii="SimSun" w:hAnsi="SimSun" w:eastAsiaTheme="minorEastAsia" w:cs="SimSun"/>
          <w:color w:val="000000"/>
          <w:sz w:val="18"/>
          <w:szCs w:val="22"/>
          <w:lang w:val="en-US" w:eastAsia="en-US" w:bidi="ar-SA"/>
        </w:rPr>
        <w:t>年度</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217" type="#_x0000_t75" style="width:697.6pt;height:2.7pt;margin-top:54.25pt;margin-left:73.75pt;mso-position-horizontal-relative:page;mso-position-vertical-relative:page;position:absolute;z-index:-251285504">
            <v:imagedata r:id="rId168" o:title=""/>
          </v:shape>
        </w:pict>
      </w:r>
      <w:r>
        <w:rPr>
          <w:noProof/>
        </w:rPr>
        <w:pict>
          <v:shape id="_x0000_s1218" type="#_x0000_t75" style="width:796.5pt;height:390.05pt;margin-top:62.55pt;margin-left:25.3pt;mso-position-horizontal-relative:page;mso-position-vertical-relative:page;position:absolute;z-index:-251400192">
            <v:imagedata r:id="rId169" o:title=""/>
          </v:shape>
        </w:pict>
      </w:r>
      <w:r>
        <w:rPr>
          <w:noProof/>
        </w:rPr>
        <w:pict>
          <v:shape id="_x0000_s1219" type="#_x0000_t75" style="width:796.75pt;height:15.2pt;margin-top:477.8pt;margin-left:25.15pt;mso-position-horizontal-relative:page;mso-position-vertical-relative:page;position:absolute;z-index:-251578368">
            <v:imagedata r:id="rId170" o:title=""/>
          </v:shape>
        </w:pict>
      </w:r>
    </w:p>
    <w:p>
      <w:pPr>
        <w:spacing w:line="0" w:lineRule="atLeast"/>
        <w:rPr>
          <w:rFonts w:ascii="Arial" w:eastAsiaTheme="minorEastAsia" w:hAnsiTheme="minorHAnsi" w:cstheme="minorBidi"/>
          <w:color w:val="FF0000"/>
          <w:sz w:val="2"/>
          <w:szCs w:val="22"/>
          <w:lang w:val="en-US" w:eastAsia="en-US" w:bidi="ar-SA"/>
        </w:rPr>
      </w:pPr>
      <w:bookmarkStart w:id="79" w:name="br1_78"/>
      <w:bookmarkEnd w:id="79"/>
      <w:r>
        <w:rPr>
          <w:rFonts w:ascii="Arial" w:eastAsiaTheme="minorEastAsia" w:hAnsiTheme="minorHAnsi" w:cstheme="minorBidi"/>
          <w:color w:val="FF0000"/>
          <w:sz w:val="2"/>
          <w:szCs w:val="22"/>
          <w:lang w:val="en-US" w:eastAsia="en-US" w:bidi="ar-SA"/>
        </w:rPr>
        <w:t xml:space="preserve"> </w:t>
      </w:r>
    </w:p>
    <w:p>
      <w:pPr>
        <w:framePr w:w="1550" w:x="7796" w:y="85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320" w:x="5804" w:y="135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其他权益工具</w:t>
      </w:r>
    </w:p>
    <w:p>
      <w:pPr>
        <w:framePr w:w="600" w:x="9779" w:y="147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600" w:x="9779" w:y="147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综合</w:t>
      </w:r>
    </w:p>
    <w:p>
      <w:pPr>
        <w:framePr w:w="600" w:x="9779" w:y="147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收益</w:t>
      </w:r>
    </w:p>
    <w:p>
      <w:pPr>
        <w:framePr w:w="1502" w:x="4076" w:y="159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实收资本</w:t>
      </w:r>
      <w:r>
        <w:rPr>
          <w:rFonts w:eastAsiaTheme="minorEastAsia" w:hAnsiTheme="minorHAnsi" w:cstheme="minorBidi"/>
          <w:color w:val="000000"/>
          <w:spacing w:val="46"/>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w:t>
      </w:r>
      <w:r>
        <w:rPr>
          <w:rFonts w:ascii="SimSun" w:hAnsi="SimSun" w:eastAsiaTheme="minorEastAsia" w:cs="SimSun"/>
          <w:color w:val="000000"/>
          <w:sz w:val="18"/>
          <w:szCs w:val="22"/>
          <w:lang w:val="en-US" w:eastAsia="en-US" w:bidi="ar-SA"/>
        </w:rPr>
        <w:t>或股</w:t>
      </w:r>
    </w:p>
    <w:p>
      <w:pPr>
        <w:framePr w:w="1502" w:x="4076" w:y="1591"/>
        <w:widowControl w:val="0"/>
        <w:autoSpaceDE w:val="0"/>
        <w:autoSpaceDN w:val="0"/>
        <w:spacing w:before="55" w:line="180" w:lineRule="exact"/>
        <w:ind w:left="494"/>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r>
        <w:rPr>
          <w:rFonts w:ascii="SimSun" w:eastAsiaTheme="minorEastAsia" w:hAnsiTheme="minorHAnsi" w:cstheme="minorBidi"/>
          <w:color w:val="000000"/>
          <w:sz w:val="18"/>
          <w:szCs w:val="22"/>
          <w:lang w:val="en-US" w:eastAsia="en-US" w:bidi="ar-SA"/>
        </w:rPr>
        <w:t>)</w:t>
      </w:r>
    </w:p>
    <w:p>
      <w:pPr>
        <w:framePr w:w="960" w:x="8864" w:y="159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22"/>
          <w:sz w:val="18"/>
          <w:szCs w:val="22"/>
          <w:lang w:val="en-US" w:eastAsia="en-US" w:bidi="ar-SA"/>
        </w:rPr>
        <w:t>减：库存</w:t>
      </w:r>
    </w:p>
    <w:p>
      <w:pPr>
        <w:framePr w:w="420" w:x="5687" w:y="163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优</w:t>
      </w:r>
    </w:p>
    <w:p>
      <w:pPr>
        <w:framePr w:w="420" w:x="6253" w:y="163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永</w:t>
      </w:r>
    </w:p>
    <w:p>
      <w:pPr>
        <w:framePr w:w="420" w:x="6253" w:y="1639"/>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续</w:t>
      </w:r>
    </w:p>
    <w:p>
      <w:pPr>
        <w:framePr w:w="420" w:x="6253" w:y="1639"/>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债</w:t>
      </w:r>
    </w:p>
    <w:p>
      <w:pPr>
        <w:framePr w:w="960" w:x="7616" w:y="170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资本公积</w:t>
      </w:r>
    </w:p>
    <w:p>
      <w:pPr>
        <w:framePr w:w="960" w:x="10665" w:y="170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专项储备</w:t>
      </w:r>
    </w:p>
    <w:p>
      <w:pPr>
        <w:framePr w:w="960" w:x="12081" w:y="170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盈余公积</w:t>
      </w:r>
    </w:p>
    <w:p>
      <w:pPr>
        <w:framePr w:w="1140" w:x="13480" w:y="170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未分配利润</w:t>
      </w:r>
    </w:p>
    <w:p>
      <w:pPr>
        <w:framePr w:w="1500" w:x="14930" w:y="170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所有者权益合计</w:t>
      </w:r>
    </w:p>
    <w:p>
      <w:pPr>
        <w:framePr w:w="420" w:x="6822" w:y="175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6822" w:y="1757"/>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9090" w:y="182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420" w:x="5687" w:y="187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先</w:t>
      </w:r>
    </w:p>
    <w:p>
      <w:pPr>
        <w:framePr w:w="420" w:x="5687" w:y="187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1680" w:x="641" w:y="235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一、上年年末余额</w:t>
      </w:r>
    </w:p>
    <w:p>
      <w:pPr>
        <w:framePr w:w="1500" w:x="4126" w:y="235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7388" w:y="235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2830" w:x="10453" w:y="235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36,030,924.09</w:t>
      </w:r>
      <w:r>
        <w:rPr>
          <w:rFonts w:ascii="SimSun" w:eastAsiaTheme="minorEastAsia" w:hAnsiTheme="minorHAnsi" w:cstheme="minorBidi"/>
          <w:color w:val="000000"/>
          <w:spacing w:val="157"/>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3199" w:x="13344" w:y="235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517,278,686.18</w:t>
      </w:r>
      <w:r>
        <w:rPr>
          <w:rFonts w:ascii="SimSun" w:eastAsiaTheme="minorEastAsia" w:hAnsiTheme="minorHAnsi" w:cstheme="minorBidi"/>
          <w:color w:val="000000"/>
          <w:spacing w:val="169"/>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1,169,825,082.15</w:t>
      </w:r>
    </w:p>
    <w:p>
      <w:pPr>
        <w:framePr w:w="1680" w:x="641" w:y="260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加：会计政策变更</w:t>
      </w:r>
    </w:p>
    <w:p>
      <w:pPr>
        <w:framePr w:w="1320" w:x="1061" w:y="285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前期差错更正</w:t>
      </w:r>
    </w:p>
    <w:p>
      <w:pPr>
        <w:framePr w:w="600" w:x="1061" w:y="310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1680" w:x="641" w:y="335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二、本年期初余额</w:t>
      </w:r>
    </w:p>
    <w:p>
      <w:pPr>
        <w:framePr w:w="1500" w:x="4126" w:y="335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7388" w:y="335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2830" w:x="10453" w:y="335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36,030,924.09</w:t>
      </w:r>
      <w:r>
        <w:rPr>
          <w:rFonts w:ascii="SimSun" w:eastAsiaTheme="minorEastAsia" w:hAnsiTheme="minorHAnsi" w:cstheme="minorBidi"/>
          <w:color w:val="000000"/>
          <w:spacing w:val="157"/>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2830" w:x="10453" w:y="3351"/>
        <w:widowControl w:val="0"/>
        <w:autoSpaceDE w:val="0"/>
        <w:autoSpaceDN w:val="0"/>
        <w:spacing w:before="6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-4,768,860.57</w:t>
      </w:r>
    </w:p>
    <w:p>
      <w:pPr>
        <w:framePr w:w="3199" w:x="13344" w:y="335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517,278,686.18</w:t>
      </w:r>
      <w:r>
        <w:rPr>
          <w:rFonts w:ascii="SimSun" w:eastAsiaTheme="minorEastAsia" w:hAnsiTheme="minorHAnsi" w:cstheme="minorBidi"/>
          <w:color w:val="000000"/>
          <w:spacing w:val="169"/>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1,169,825,082.15</w:t>
      </w:r>
    </w:p>
    <w:p>
      <w:pPr>
        <w:framePr w:w="3480" w:x="641" w:y="359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三、本期增减变动金额（减少以“－”号</w:t>
      </w:r>
    </w:p>
    <w:p>
      <w:pPr>
        <w:framePr w:w="3480" w:x="641" w:y="3598"/>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填列）</w:t>
      </w:r>
    </w:p>
    <w:p>
      <w:pPr>
        <w:framePr w:w="1500" w:x="13260" w:y="359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185,031,415.70</w:t>
      </w:r>
    </w:p>
    <w:p>
      <w:pPr>
        <w:framePr w:w="1500" w:x="13260" w:y="3598"/>
        <w:widowControl w:val="0"/>
        <w:autoSpaceDE w:val="0"/>
        <w:autoSpaceDN w:val="0"/>
        <w:spacing w:before="303"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185,031,415.70</w:t>
      </w:r>
    </w:p>
    <w:p>
      <w:pPr>
        <w:framePr w:w="1500" w:x="15043" w:y="359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180,262,555.13</w:t>
      </w:r>
    </w:p>
    <w:p>
      <w:pPr>
        <w:framePr w:w="1500" w:x="15043" w:y="3598"/>
        <w:widowControl w:val="0"/>
        <w:autoSpaceDE w:val="0"/>
        <w:autoSpaceDN w:val="0"/>
        <w:spacing w:before="303"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185,031,415.70</w:t>
      </w:r>
    </w:p>
    <w:p>
      <w:pPr>
        <w:framePr w:w="3031" w:x="641" w:y="408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（一）综合收益总额</w:t>
      </w:r>
    </w:p>
    <w:p>
      <w:pPr>
        <w:framePr w:w="3031" w:x="641" w:y="4081"/>
        <w:widowControl w:val="0"/>
        <w:autoSpaceDE w:val="0"/>
        <w:autoSpaceDN w:val="0"/>
        <w:spacing w:before="67"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（二）所有者投入和减少资本</w:t>
      </w:r>
    </w:p>
    <w:p>
      <w:pPr>
        <w:framePr w:w="3031" w:x="641" w:y="4081"/>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．所有者投入的普通股</w:t>
      </w:r>
    </w:p>
    <w:p>
      <w:pPr>
        <w:framePr w:w="3031" w:x="641" w:y="4081"/>
        <w:widowControl w:val="0"/>
        <w:autoSpaceDE w:val="0"/>
        <w:autoSpaceDN w:val="0"/>
        <w:spacing w:before="67"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．其他权益工具持有者投入资本</w:t>
      </w:r>
    </w:p>
    <w:p>
      <w:pPr>
        <w:framePr w:w="3031" w:x="641" w:y="4081"/>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．股份支付计入所有者权益的金额</w:t>
      </w:r>
    </w:p>
    <w:p>
      <w:pPr>
        <w:framePr w:w="3031" w:x="641" w:y="4081"/>
        <w:widowControl w:val="0"/>
        <w:autoSpaceDE w:val="0"/>
        <w:autoSpaceDN w:val="0"/>
        <w:spacing w:before="67"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1500" w:x="641" w:y="557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（三）利润分配</w:t>
      </w:r>
    </w:p>
    <w:p>
      <w:pPr>
        <w:framePr w:w="1591" w:x="641" w:y="581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．提取盈余公积</w:t>
      </w:r>
    </w:p>
    <w:p>
      <w:pPr>
        <w:framePr w:w="2671" w:x="641" w:y="606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．对所有者（或股东）的分配</w:t>
      </w:r>
    </w:p>
    <w:p>
      <w:pPr>
        <w:framePr w:w="2671" w:x="641" w:y="6068"/>
        <w:widowControl w:val="0"/>
        <w:autoSpaceDE w:val="0"/>
        <w:autoSpaceDN w:val="0"/>
        <w:spacing w:before="68"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．其他</w:t>
      </w:r>
    </w:p>
    <w:p>
      <w:pPr>
        <w:framePr w:w="3211" w:x="641" w:y="656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（四）所有者权益内部结转</w:t>
      </w:r>
    </w:p>
    <w:p>
      <w:pPr>
        <w:framePr w:w="3211" w:x="641" w:y="6565"/>
        <w:widowControl w:val="0"/>
        <w:autoSpaceDE w:val="0"/>
        <w:autoSpaceDN w:val="0"/>
        <w:spacing w:before="67"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．资本公积转增资本（或股本）</w:t>
      </w:r>
    </w:p>
    <w:p>
      <w:pPr>
        <w:framePr w:w="3211" w:x="641" w:y="6565"/>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．盈余公积转增资本（或股本）</w:t>
      </w:r>
    </w:p>
    <w:p>
      <w:pPr>
        <w:framePr w:w="3211" w:x="641" w:y="6565"/>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．盈余公积弥补亏损</w:t>
      </w:r>
    </w:p>
    <w:p>
      <w:pPr>
        <w:framePr w:w="3211" w:x="641" w:y="6565"/>
        <w:widowControl w:val="0"/>
        <w:autoSpaceDE w:val="0"/>
        <w:autoSpaceDN w:val="0"/>
        <w:spacing w:before="67"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．设定受益计划变动额结转留存收益</w:t>
      </w:r>
    </w:p>
    <w:p>
      <w:pPr>
        <w:framePr w:w="3211" w:x="641" w:y="6565"/>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w:t>
      </w:r>
      <w:r>
        <w:rPr>
          <w:rFonts w:ascii="SimSun" w:hAnsi="SimSun" w:eastAsiaTheme="minorEastAsia" w:cs="SimSun"/>
          <w:color w:val="000000"/>
          <w:sz w:val="18"/>
          <w:szCs w:val="22"/>
          <w:lang w:val="en-US" w:eastAsia="en-US" w:bidi="ar-SA"/>
        </w:rPr>
        <w:t>．其他综合收益结转留存收益</w:t>
      </w:r>
    </w:p>
    <w:p>
      <w:pPr>
        <w:framePr w:w="3211" w:x="641" w:y="6565"/>
        <w:widowControl w:val="0"/>
        <w:autoSpaceDE w:val="0"/>
        <w:autoSpaceDN w:val="0"/>
        <w:spacing w:before="67"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w:t>
      </w:r>
      <w:r>
        <w:rPr>
          <w:rFonts w:ascii="SimSun" w:hAnsi="SimSun" w:eastAsiaTheme="minorEastAsia" w:cs="SimSun"/>
          <w:color w:val="000000"/>
          <w:sz w:val="18"/>
          <w:szCs w:val="22"/>
          <w:lang w:val="en-US" w:eastAsia="en-US" w:bidi="ar-SA"/>
        </w:rPr>
        <w:t>．其他</w:t>
      </w:r>
    </w:p>
    <w:p>
      <w:pPr>
        <w:framePr w:w="1500" w:x="641" w:y="830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（五）专项储备</w:t>
      </w:r>
    </w:p>
    <w:p>
      <w:pPr>
        <w:framePr w:w="1411" w:x="10425" w:y="830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-4,768,860.57</w:t>
      </w:r>
    </w:p>
    <w:p>
      <w:pPr>
        <w:framePr w:w="1411" w:x="10425" w:y="8305"/>
        <w:widowControl w:val="0"/>
        <w:autoSpaceDE w:val="0"/>
        <w:autoSpaceDN w:val="0"/>
        <w:spacing w:before="6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6,654,840.61</w:t>
      </w:r>
    </w:p>
    <w:p>
      <w:pPr>
        <w:framePr w:w="1411" w:x="10425" w:y="8305"/>
        <w:widowControl w:val="0"/>
        <w:autoSpaceDE w:val="0"/>
        <w:autoSpaceDN w:val="0"/>
        <w:spacing w:before="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11,423,701.18</w:t>
      </w:r>
    </w:p>
    <w:p>
      <w:pPr>
        <w:framePr w:w="1411" w:x="14817" w:y="830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-4,768,860.57</w:t>
      </w:r>
    </w:p>
    <w:p>
      <w:pPr>
        <w:framePr w:w="1411" w:x="14817" w:y="8305"/>
        <w:widowControl w:val="0"/>
        <w:autoSpaceDE w:val="0"/>
        <w:autoSpaceDN w:val="0"/>
        <w:spacing w:before="6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6,654,840.61</w:t>
      </w:r>
    </w:p>
    <w:p>
      <w:pPr>
        <w:framePr w:w="1411" w:x="14817" w:y="8305"/>
        <w:widowControl w:val="0"/>
        <w:autoSpaceDE w:val="0"/>
        <w:autoSpaceDN w:val="0"/>
        <w:spacing w:before="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11,423,701.18</w:t>
      </w:r>
    </w:p>
    <w:p>
      <w:pPr>
        <w:framePr w:w="1231" w:x="641" w:y="855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．本期提取</w:t>
      </w:r>
    </w:p>
    <w:p>
      <w:pPr>
        <w:framePr w:w="1231" w:x="641" w:y="880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．本期使用</w:t>
      </w:r>
    </w:p>
    <w:p>
      <w:pPr>
        <w:framePr w:w="1140" w:x="641" w:y="905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（六）其他</w:t>
      </w:r>
    </w:p>
    <w:p>
      <w:pPr>
        <w:framePr w:w="1680" w:x="641" w:y="929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四、本期期末余额</w:t>
      </w:r>
    </w:p>
    <w:p>
      <w:pPr>
        <w:framePr w:w="1500" w:x="4126" w:y="929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7388" w:y="929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4306" w:x="10453" w:y="929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31,262,063.52</w:t>
      </w:r>
      <w:r>
        <w:rPr>
          <w:rFonts w:ascii="SimSun" w:eastAsiaTheme="minorEastAsia" w:hAnsiTheme="minorHAnsi" w:cstheme="minorBidi"/>
          <w:color w:val="000000"/>
          <w:spacing w:val="157"/>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r>
        <w:rPr>
          <w:rFonts w:ascii="SimSun" w:eastAsiaTheme="minorEastAsia" w:hAnsiTheme="minorHAnsi" w:cstheme="minorBidi"/>
          <w:color w:val="000000"/>
          <w:spacing w:val="126"/>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702,310,101.88</w:t>
      </w:r>
    </w:p>
    <w:p>
      <w:pPr>
        <w:framePr w:w="1680" w:x="14817" w:y="929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1,350,087,637.28</w:t>
      </w:r>
    </w:p>
    <w:p>
      <w:pPr>
        <w:framePr w:w="2141" w:x="1524" w:y="9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6459" w:y="9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12340" w:y="9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847" w:x="8156" w:y="1068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220" type="#_x0000_t75" style="width:697.6pt;height:2.7pt;margin-top:54.25pt;margin-left:73.75pt;mso-position-horizontal-relative:page;mso-position-vertical-relative:page;position:absolute;z-index:-251399168">
            <v:imagedata r:id="rId171" o:title=""/>
          </v:shape>
        </w:pict>
      </w:r>
      <w:r>
        <w:rPr>
          <w:noProof/>
        </w:rPr>
        <w:pict>
          <v:shape id="_x0000_s1221" type="#_x0000_t75" style="width:796.75pt;height:414.5pt;margin-top:62.55pt;margin-left:25.15pt;mso-position-horizontal-relative:page;mso-position-vertical-relative:page;position:absolute;z-index:-251577344">
            <v:imagedata r:id="rId172" o:title=""/>
          </v:shape>
        </w:pict>
      </w:r>
    </w:p>
    <w:p>
      <w:pPr>
        <w:spacing w:line="0" w:lineRule="atLeast"/>
        <w:rPr>
          <w:rFonts w:ascii="Arial" w:eastAsiaTheme="minorEastAsia" w:hAnsiTheme="minorHAnsi" w:cstheme="minorBidi"/>
          <w:color w:val="FF0000"/>
          <w:sz w:val="2"/>
          <w:szCs w:val="22"/>
          <w:lang w:val="en-US" w:eastAsia="en-US" w:bidi="ar-SA"/>
        </w:rPr>
      </w:pPr>
      <w:bookmarkStart w:id="80" w:name="br1_79"/>
      <w:bookmarkEnd w:id="8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932" w:x="1798" w:y="16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三、公司基本情况</w:t>
      </w:r>
    </w:p>
    <w:p>
      <w:pPr>
        <w:framePr w:w="1932" w:x="1798" w:y="1656"/>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公司概况</w:t>
      </w:r>
    </w:p>
    <w:p>
      <w:pPr>
        <w:framePr w:w="1922" w:x="1798" w:y="27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2218" w:y="32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公司注册地、组织形式和总部地址</w:t>
      </w:r>
    </w:p>
    <w:p>
      <w:pPr>
        <w:framePr w:w="9068" w:x="1798" w:y="377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山东先达农化股份有限公司（以下简称“公司”或“本公司”）前身为山东先达化工有限公</w:t>
      </w:r>
    </w:p>
    <w:p>
      <w:pPr>
        <w:framePr w:w="9068" w:x="1798" w:y="3770"/>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司</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2011</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11</w:t>
      </w:r>
      <w:r>
        <w:rPr>
          <w:rFonts w:ascii="SimSun" w:hAnsi="SimSun" w:eastAsiaTheme="minorEastAsia" w:cs="SimSun"/>
          <w:color w:val="000000"/>
          <w:sz w:val="21"/>
          <w:szCs w:val="22"/>
          <w:lang w:val="en-US" w:eastAsia="en-US" w:bidi="ar-SA"/>
        </w:rPr>
        <w:t>月经公司股东会决议同意，整体变更为股份有限公司。公司于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2017</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11</w:t>
      </w:r>
    </w:p>
    <w:p>
      <w:pPr>
        <w:framePr w:w="9068" w:x="1798" w:y="377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日在上海证券交易所上市，现持有统一社会信用代码为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913700007433656097</w:t>
      </w:r>
      <w:r>
        <w:rPr>
          <w:rFonts w:ascii="SimSun" w:hAnsi="SimSun" w:eastAsiaTheme="minorEastAsia" w:cs="SimSun"/>
          <w:color w:val="000000"/>
          <w:sz w:val="21"/>
          <w:szCs w:val="22"/>
          <w:lang w:val="en-US" w:eastAsia="en-US" w:bidi="ar-SA"/>
        </w:rPr>
        <w:t>的营业执照。</w:t>
      </w:r>
    </w:p>
    <w:p>
      <w:pPr>
        <w:framePr w:w="9079" w:x="1798" w:y="511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经过历年的派送红股、转增股本及限制性股票激励，截止</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pacing w:val="-4"/>
          <w:sz w:val="21"/>
          <w:szCs w:val="22"/>
          <w:lang w:val="en-US" w:eastAsia="en-US" w:bidi="ar-SA"/>
        </w:rPr>
        <w:t>日，本公司累计发</w:t>
      </w:r>
    </w:p>
    <w:p>
      <w:pPr>
        <w:framePr w:w="9079" w:x="1798" w:y="51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行股本总数</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15,849</w:t>
      </w:r>
      <w:r>
        <w:rPr>
          <w:rFonts w:ascii="SimSun" w:hAnsi="SimSun" w:eastAsiaTheme="minorEastAsia" w:cs="SimSun"/>
          <w:color w:val="000000"/>
          <w:sz w:val="21"/>
          <w:szCs w:val="22"/>
          <w:lang w:val="en-US" w:eastAsia="en-US" w:bidi="ar-SA"/>
        </w:rPr>
        <w:t>万股，注册资本为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15,849</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万元人民币，注册地址：博兴经济开发区。</w:t>
      </w:r>
    </w:p>
    <w:p>
      <w:pPr>
        <w:framePr w:w="6787" w:x="2218" w:y="60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公司业务性质和主要经营活动</w:t>
      </w:r>
    </w:p>
    <w:p>
      <w:pPr>
        <w:framePr w:w="6787" w:x="2218" w:y="6053"/>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本公司属化学农药制造行业，主要产品为除草剂、杀菌剂、中间体等。</w:t>
      </w:r>
    </w:p>
    <w:p>
      <w:pPr>
        <w:framePr w:w="6787" w:x="2218" w:y="605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三</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财务报表的批准报出</w:t>
      </w:r>
    </w:p>
    <w:p>
      <w:pPr>
        <w:framePr w:w="6126" w:x="1798" w:y="76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本财务报表业经公司董事会于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26</w:t>
      </w:r>
      <w:r>
        <w:rPr>
          <w:rFonts w:ascii="SimSun" w:hAnsi="SimSun" w:eastAsiaTheme="minorEastAsia" w:cs="SimSun"/>
          <w:color w:val="000000"/>
          <w:sz w:val="21"/>
          <w:szCs w:val="22"/>
          <w:lang w:val="en-US" w:eastAsia="en-US" w:bidi="ar-SA"/>
        </w:rPr>
        <w:t>日批准报出。</w:t>
      </w:r>
    </w:p>
    <w:p>
      <w:pPr>
        <w:framePr w:w="6126" w:x="1798" w:y="763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合并财务报表范围</w:t>
      </w:r>
    </w:p>
    <w:p>
      <w:pPr>
        <w:framePr w:w="1922" w:x="1798" w:y="86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520" w:x="2218" w:y="9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本期纳入合并财务报表范围的子公司共十户，具体包括：</w:t>
      </w:r>
    </w:p>
    <w:p>
      <w:pPr>
        <w:framePr w:w="1296" w:x="8935" w:y="9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表决权比例</w:t>
      </w:r>
    </w:p>
    <w:p>
      <w:pPr>
        <w:framePr w:w="1296" w:x="2636" w:y="99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子公司名称</w:t>
      </w:r>
    </w:p>
    <w:p>
      <w:pPr>
        <w:framePr w:w="1296" w:x="5019" w:y="99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子公司类型</w:t>
      </w:r>
    </w:p>
    <w:p>
      <w:pPr>
        <w:framePr w:w="2290" w:x="6611" w:y="99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级次</w:t>
      </w:r>
      <w:r>
        <w:rPr>
          <w:rFonts w:eastAsiaTheme="minorEastAsia" w:hAnsiTheme="minorHAnsi" w:cstheme="minorBidi"/>
          <w:color w:val="000000"/>
          <w:spacing w:val="207"/>
          <w:sz w:val="21"/>
          <w:szCs w:val="22"/>
          <w:lang w:val="en-US" w:eastAsia="en-US" w:bidi="ar-SA"/>
        </w:rPr>
        <w:t xml:space="preserve"> </w:t>
      </w:r>
      <w:r>
        <w:rPr>
          <w:rFonts w:ascii="SimSun" w:hAnsi="SimSun" w:eastAsiaTheme="minorEastAsia" w:cs="SimSun"/>
          <w:color w:val="000000"/>
          <w:sz w:val="21"/>
          <w:szCs w:val="22"/>
          <w:lang w:val="en-US" w:eastAsia="en-US" w:bidi="ar-SA"/>
        </w:rPr>
        <w:t>持股比例（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768" w:x="9196" w:y="100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085" w:x="2741" w:y="103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w:t>
      </w:r>
    </w:p>
    <w:p>
      <w:pPr>
        <w:framePr w:w="1085" w:x="2741" w:y="1036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w:t>
      </w:r>
    </w:p>
    <w:p>
      <w:pPr>
        <w:framePr w:w="1296" w:x="5019" w:y="103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5019" w:y="1036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5019" w:y="1036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5019" w:y="1036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5019" w:y="1036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662" w:x="6611" w:y="103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611" w:y="1036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611" w:y="1036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611" w:y="1036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611" w:y="1036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611" w:y="10369"/>
        <w:widowControl w:val="0"/>
        <w:autoSpaceDE w:val="0"/>
        <w:autoSpaceDN w:val="0"/>
        <w:spacing w:before="108"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二级</w:t>
      </w:r>
    </w:p>
    <w:p>
      <w:pPr>
        <w:framePr w:w="557" w:x="7785" w:y="103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785" w:y="1036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785" w:y="1036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785" w:y="1036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785" w:y="1036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785" w:y="10369"/>
        <w:widowControl w:val="0"/>
        <w:autoSpaceDE w:val="0"/>
        <w:autoSpaceDN w:val="0"/>
        <w:spacing w:before="10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03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07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071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071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071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0719"/>
        <w:widowControl w:val="0"/>
        <w:autoSpaceDE w:val="0"/>
        <w:autoSpaceDN w:val="0"/>
        <w:spacing w:before="10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1085" w:x="2741" w:y="110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w:t>
      </w:r>
    </w:p>
    <w:p>
      <w:pPr>
        <w:framePr w:w="1507" w:x="2530" w:y="11420"/>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济南瑞斯邦</w:t>
      </w:r>
    </w:p>
    <w:p>
      <w:pPr>
        <w:framePr w:w="1507" w:x="2530" w:y="11420"/>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博兴县盛信达</w:t>
      </w:r>
    </w:p>
    <w:p>
      <w:pPr>
        <w:framePr w:w="1085" w:x="2741" w:y="121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w:t>
      </w:r>
    </w:p>
    <w:p>
      <w:pPr>
        <w:framePr w:w="1296" w:x="5019" w:y="121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全资孙公司</w:t>
      </w:r>
    </w:p>
    <w:p>
      <w:pPr>
        <w:framePr w:w="662" w:x="6611" w:y="125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二级</w:t>
      </w:r>
    </w:p>
    <w:p>
      <w:pPr>
        <w:framePr w:w="557" w:x="7785" w:y="125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25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1085" w:x="2741" w:y="125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w:t>
      </w:r>
    </w:p>
    <w:p>
      <w:pPr>
        <w:framePr w:w="1085" w:x="2741" w:y="12572"/>
        <w:widowControl w:val="0"/>
        <w:autoSpaceDE w:val="0"/>
        <w:autoSpaceDN w:val="0"/>
        <w:spacing w:before="1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w:t>
      </w:r>
    </w:p>
    <w:p>
      <w:pPr>
        <w:framePr w:w="1085" w:x="2741" w:y="12572"/>
        <w:widowControl w:val="0"/>
        <w:autoSpaceDE w:val="0"/>
        <w:autoSpaceDN w:val="0"/>
        <w:spacing w:before="1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印尼中农</w:t>
      </w:r>
    </w:p>
    <w:p>
      <w:pPr>
        <w:framePr w:w="1296" w:x="5019" w:y="125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全资孙公司</w:t>
      </w:r>
    </w:p>
    <w:p>
      <w:pPr>
        <w:framePr w:w="1296" w:x="5019" w:y="12572"/>
        <w:widowControl w:val="0"/>
        <w:autoSpaceDE w:val="0"/>
        <w:autoSpaceDN w:val="0"/>
        <w:spacing w:before="1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5019" w:y="12572"/>
        <w:widowControl w:val="0"/>
        <w:autoSpaceDE w:val="0"/>
        <w:autoSpaceDN w:val="0"/>
        <w:spacing w:before="1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全资孙公司</w:t>
      </w:r>
    </w:p>
    <w:p>
      <w:pPr>
        <w:framePr w:w="662" w:x="6611" w:y="129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611" w:y="12957"/>
        <w:widowControl w:val="0"/>
        <w:autoSpaceDE w:val="0"/>
        <w:autoSpaceDN w:val="0"/>
        <w:spacing w:before="108"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二级</w:t>
      </w:r>
    </w:p>
    <w:p>
      <w:pPr>
        <w:framePr w:w="557" w:x="7785" w:y="129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785" w:y="12957"/>
        <w:widowControl w:val="0"/>
        <w:autoSpaceDE w:val="0"/>
        <w:autoSpaceDN w:val="0"/>
        <w:spacing w:before="10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29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2957"/>
        <w:widowControl w:val="0"/>
        <w:autoSpaceDE w:val="0"/>
        <w:autoSpaceDN w:val="0"/>
        <w:spacing w:before="10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662" w:x="6611" w:y="136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二级</w:t>
      </w:r>
    </w:p>
    <w:p>
      <w:pPr>
        <w:framePr w:w="557" w:x="7785" w:y="136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302" w:y="136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1085" w:x="2741" w:y="137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巴西光华</w:t>
      </w:r>
    </w:p>
    <w:p>
      <w:pPr>
        <w:framePr w:w="1296" w:x="5019" w:y="137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全资孙公司</w:t>
      </w:r>
    </w:p>
    <w:p>
      <w:pPr>
        <w:framePr w:w="6337" w:x="2218" w:y="142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本期纳入合并财务报表范围的主体较上期相比，增加</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户，其中：</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2" type="#_x0000_t75" style="width:445.6pt;height:2.7pt;margin-top:53.65pt;margin-left:87.45pt;mso-position-horizontal-relative:page;mso-position-vertical-relative:page;position:absolute;z-index:-251398144">
            <v:imagedata r:id="rId173" o:title=""/>
          </v:shape>
        </w:pict>
      </w:r>
      <w:r>
        <w:rPr>
          <w:noProof/>
        </w:rPr>
        <w:pict>
          <v:shape id="_x0000_s1223" type="#_x0000_t75" style="width:429.15pt;height:220.9pt;margin-top:485.25pt;margin-left:82.8pt;mso-position-horizontal-relative:page;mso-position-vertical-relative:page;position:absolute;z-index:-251576320">
            <v:imagedata r:id="rId174" o:title=""/>
          </v:shape>
        </w:pict>
      </w:r>
    </w:p>
    <w:p>
      <w:pPr>
        <w:spacing w:line="0" w:lineRule="atLeast"/>
        <w:rPr>
          <w:rFonts w:ascii="Arial" w:eastAsiaTheme="minorEastAsia" w:hAnsiTheme="minorHAnsi" w:cstheme="minorBidi"/>
          <w:color w:val="FF0000"/>
          <w:sz w:val="2"/>
          <w:szCs w:val="22"/>
          <w:lang w:val="en-US" w:eastAsia="en-US" w:bidi="ar-SA"/>
        </w:rPr>
      </w:pPr>
      <w:bookmarkStart w:id="81" w:name="br1_80"/>
      <w:bookmarkEnd w:id="8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688"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本期新纳入合并范围的子公司、特殊目的主体、通过受托经营或承租等方式形成控制权的</w:t>
      </w:r>
    </w:p>
    <w:p>
      <w:pPr>
        <w:framePr w:w="1085"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经营实体</w:t>
      </w:r>
    </w:p>
    <w:p>
      <w:pPr>
        <w:framePr w:w="662" w:x="3164" w:y="25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085" w:x="7221" w:y="25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变更原因</w:t>
      </w:r>
    </w:p>
    <w:p>
      <w:pPr>
        <w:framePr w:w="1085" w:x="7221" w:y="2537"/>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新设投资</w:t>
      </w:r>
    </w:p>
    <w:p>
      <w:pPr>
        <w:framePr w:w="1085" w:x="7221" w:y="2537"/>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新设投资</w:t>
      </w:r>
    </w:p>
    <w:p>
      <w:pPr>
        <w:framePr w:w="1085" w:x="7221" w:y="2537"/>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新设投资</w:t>
      </w:r>
    </w:p>
    <w:p>
      <w:pPr>
        <w:framePr w:w="1085" w:x="2955" w:y="28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w:t>
      </w:r>
    </w:p>
    <w:p>
      <w:pPr>
        <w:framePr w:w="1085" w:x="2955" w:y="2887"/>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印尼中农</w:t>
      </w:r>
    </w:p>
    <w:p>
      <w:pPr>
        <w:framePr w:w="1085" w:x="2955" w:y="2887"/>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巴西光华</w:t>
      </w:r>
    </w:p>
    <w:p>
      <w:pPr>
        <w:framePr w:w="6365" w:x="2218" w:y="4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合并范围变更主体的具体信息详见“附注八、合并范围的变更”。</w:t>
      </w:r>
    </w:p>
    <w:p>
      <w:pPr>
        <w:framePr w:w="2568" w:x="1798" w:y="45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四、财务报表的编制基础</w:t>
      </w:r>
    </w:p>
    <w:p>
      <w:pPr>
        <w:framePr w:w="1510" w:x="1798" w:y="51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编制基础</w:t>
      </w:r>
    </w:p>
    <w:p>
      <w:pPr>
        <w:framePr w:w="9110" w:x="1798" w:y="563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本公司根据实际发生的交易和事项，按照财政部颁布的《企业会计准则——基本准则》和具</w:t>
      </w:r>
    </w:p>
    <w:p>
      <w:pPr>
        <w:framePr w:w="9110" w:x="1798" w:y="56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体企业会计准则、企业会计准则应用指南、企业会计准则解释及其他相关规定（以下合称“企业</w:t>
      </w:r>
    </w:p>
    <w:p>
      <w:pPr>
        <w:framePr w:w="9110" w:x="1798" w:y="56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会计准则”）进行确认和计量，在此基础上，结合中国证券监督管理委员会《公开发行证券的公</w:t>
      </w:r>
    </w:p>
    <w:p>
      <w:pPr>
        <w:framePr w:w="9110" w:x="1798" w:y="56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司信息披露编报规则第</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15</w:t>
      </w:r>
      <w:r>
        <w:rPr>
          <w:rFonts w:ascii="SimSun" w:hAnsi="SimSun" w:eastAsiaTheme="minorEastAsia" w:cs="SimSun"/>
          <w:color w:val="000000"/>
          <w:spacing w:val="-5"/>
          <w:sz w:val="21"/>
          <w:szCs w:val="22"/>
          <w:lang w:val="en-US" w:eastAsia="en-US" w:bidi="ar-SA"/>
        </w:rPr>
        <w:t>号——财务报告的一般规定》（</w:t>
      </w:r>
      <w:r>
        <w:rPr>
          <w:rFonts w:ascii="SimSun" w:eastAsiaTheme="minorEastAsia" w:hAnsiTheme="minorHAnsi" w:cstheme="minorBidi"/>
          <w:color w:val="000000"/>
          <w:sz w:val="21"/>
          <w:szCs w:val="22"/>
          <w:lang w:val="en-US" w:eastAsia="en-US" w:bidi="ar-SA"/>
        </w:rPr>
        <w:t>2014</w:t>
      </w:r>
      <w:r>
        <w:rPr>
          <w:rFonts w:ascii="SimSun" w:hAnsi="SimSun" w:eastAsiaTheme="minorEastAsia" w:cs="SimSun"/>
          <w:color w:val="000000"/>
          <w:spacing w:val="-5"/>
          <w:sz w:val="21"/>
          <w:szCs w:val="22"/>
          <w:lang w:val="en-US" w:eastAsia="en-US" w:bidi="ar-SA"/>
        </w:rPr>
        <w:t>年修订）的规定，编制财务报表。</w:t>
      </w:r>
    </w:p>
    <w:p>
      <w:pPr>
        <w:framePr w:w="1510" w:x="1798" w:y="73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持续经营</w:t>
      </w:r>
    </w:p>
    <w:p>
      <w:pPr>
        <w:framePr w:w="1922" w:x="1798" w:y="77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81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本公司对报告期末起</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pacing w:val="-3"/>
          <w:sz w:val="21"/>
          <w:szCs w:val="22"/>
          <w:lang w:val="en-US" w:eastAsia="en-US" w:bidi="ar-SA"/>
        </w:rPr>
        <w:t>个月的持续经营能力进行了评价，未发现对持续经营能力产生重大怀</w:t>
      </w:r>
    </w:p>
    <w:p>
      <w:pPr>
        <w:framePr w:w="6787" w:x="1798" w:y="85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疑的事项或情况。因此，本财务报表系在持续经营假设的基础上编制。</w:t>
      </w:r>
    </w:p>
    <w:p>
      <w:pPr>
        <w:framePr w:w="3197" w:x="1798" w:y="90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五、重要会计政策及会计估计</w:t>
      </w:r>
    </w:p>
    <w:p>
      <w:pPr>
        <w:framePr w:w="3197" w:x="1798" w:y="904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具体会计政策和会计估计提示：</w:t>
      </w:r>
    </w:p>
    <w:p>
      <w:pPr>
        <w:framePr w:w="1817" w:x="1798" w:y="10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8" w:x="1798" w:y="104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本公司对报告期末起</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pacing w:val="-3"/>
          <w:sz w:val="21"/>
          <w:szCs w:val="22"/>
          <w:lang w:val="en-US" w:eastAsia="en-US" w:bidi="ar-SA"/>
        </w:rPr>
        <w:t>个月的持续经营能力进行了评价，未发现对持续经营能力产生重大怀</w:t>
      </w:r>
    </w:p>
    <w:p>
      <w:pPr>
        <w:framePr w:w="9078" w:x="1798" w:y="104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疑的事项或情况。因此，本财务报表系在持续经营假设的基础上编制。</w:t>
      </w:r>
    </w:p>
    <w:p>
      <w:pPr>
        <w:framePr w:w="2986" w:x="1798" w:y="114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遵循企业会计准则的声明</w:t>
      </w:r>
    </w:p>
    <w:p>
      <w:pPr>
        <w:framePr w:w="9068" w:x="1798" w:y="1196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本公司所编制的财务报表符合企业会计准则的要求，真实、完整地反映了公司的财务状况、</w:t>
      </w:r>
    </w:p>
    <w:p>
      <w:pPr>
        <w:framePr w:w="9068" w:x="1798" w:y="11960"/>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经营成果、股东权益变动和现金流量等有关信息。</w:t>
      </w:r>
    </w:p>
    <w:p>
      <w:pPr>
        <w:framePr w:w="1510" w:x="1798" w:y="128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会计期间</w:t>
      </w:r>
    </w:p>
    <w:p>
      <w:pPr>
        <w:framePr w:w="5074" w:x="1798" w:y="134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本公司会计年度自公历</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1"/>
          <w:sz w:val="21"/>
          <w:szCs w:val="22"/>
          <w:lang w:val="en-US" w:eastAsia="en-US" w:bidi="ar-SA"/>
        </w:rPr>
        <w:t>日起至</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日止。</w:t>
      </w:r>
    </w:p>
    <w:p>
      <w:pPr>
        <w:framePr w:w="5074" w:x="1798" w:y="1342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营业周期</w:t>
      </w:r>
    </w:p>
    <w:p>
      <w:pPr>
        <w:framePr w:w="1922" w:x="1798" w:y="144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57" w:x="2218" w:y="150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本公司营业周期为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pacing w:val="-1"/>
          <w:sz w:val="21"/>
          <w:szCs w:val="22"/>
          <w:lang w:val="en-US" w:eastAsia="en-US" w:bidi="ar-SA"/>
        </w:rPr>
        <w:t>个月</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4" type="#_x0000_t75" style="width:445.6pt;height:2.7pt;margin-top:53.65pt;margin-left:87.45pt;mso-position-horizontal-relative:page;mso-position-vertical-relative:page;position:absolute;z-index:-251397120">
            <v:imagedata r:id="rId175" o:title=""/>
          </v:shape>
        </w:pict>
      </w:r>
      <w:r>
        <w:rPr>
          <w:noProof/>
        </w:rPr>
        <w:pict>
          <v:shape id="_x0000_s1225" type="#_x0000_t75" style="width:429.15pt;height:74.5pt;margin-top:121.2pt;margin-left:82.8pt;mso-position-horizontal-relative:page;mso-position-vertical-relative:page;position:absolute;z-index:-251575296">
            <v:imagedata r:id="rId176" o:title=""/>
          </v:shape>
        </w:pict>
      </w:r>
    </w:p>
    <w:p>
      <w:pPr>
        <w:spacing w:line="0" w:lineRule="atLeast"/>
        <w:rPr>
          <w:rFonts w:ascii="Arial" w:eastAsiaTheme="minorEastAsia" w:hAnsiTheme="minorHAnsi" w:cstheme="minorBidi"/>
          <w:color w:val="FF0000"/>
          <w:sz w:val="2"/>
          <w:szCs w:val="22"/>
          <w:lang w:val="en-US" w:eastAsia="en-US" w:bidi="ar-SA"/>
        </w:rPr>
      </w:pPr>
      <w:bookmarkStart w:id="82" w:name="br1_81"/>
      <w:bookmarkEnd w:id="8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721"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记账本位币</w:t>
      </w:r>
    </w:p>
    <w:p>
      <w:pPr>
        <w:framePr w:w="3197" w:x="1798" w:y="19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本公司的记账本位币为人民币。</w:t>
      </w:r>
    </w:p>
    <w:p>
      <w:pPr>
        <w:framePr w:w="5513" w:x="1798" w:y="2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同一控制下和非同一控制下企业合并的会计处理方法</w:t>
      </w:r>
    </w:p>
    <w:p>
      <w:pPr>
        <w:framePr w:w="1922" w:x="1798" w:y="29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988" w:x="1798" w:y="337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．分步实现企业合并过程中的各项交易的条款、条件以及经济影响符合以下一种或多种情</w:t>
      </w:r>
    </w:p>
    <w:p>
      <w:pPr>
        <w:framePr w:w="8988" w:x="1798" w:y="33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况，将多次交易事项作为一揽子交易进行会计处理</w:t>
      </w:r>
    </w:p>
    <w:p>
      <w:pPr>
        <w:framePr w:w="7104" w:x="2218" w:y="43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）这些交易是同时或者在考虑了彼此影响的情况下订立的；</w:t>
      </w:r>
    </w:p>
    <w:p>
      <w:pPr>
        <w:framePr w:w="7104" w:x="2218" w:y="431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）这些交易整体才能达成一项完整的商业结果；</w:t>
      </w:r>
    </w:p>
    <w:p>
      <w:pPr>
        <w:framePr w:w="7104" w:x="2218" w:y="431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）一项交易的发生取决于其他至少一项交易的发生；</w:t>
      </w:r>
    </w:p>
    <w:p>
      <w:pPr>
        <w:framePr w:w="7104" w:x="2218" w:y="431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）一项交易单独看是不经济的，但是和其他交易一并考虑时是经济的。</w:t>
      </w:r>
    </w:p>
    <w:p>
      <w:pPr>
        <w:framePr w:w="7104" w:x="2218" w:y="431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．同一控制下的企业合并</w:t>
      </w:r>
    </w:p>
    <w:p>
      <w:pPr>
        <w:framePr w:w="9110" w:x="1798" w:y="695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本公司在企业合并中取得的资产和负债，按照合并日在被合并方资产、负债（包括最终控制</w:t>
      </w:r>
    </w:p>
    <w:p>
      <w:pPr>
        <w:framePr w:w="9110" w:x="1798" w:y="695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方收购被合并方而形成的商誉）在最终控制方合并财务报表中的账面价值计量。在合并中取得的</w:t>
      </w:r>
    </w:p>
    <w:p>
      <w:pPr>
        <w:framePr w:w="9110" w:x="1798" w:y="695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净资产账面价值与支付的合并对价账面价值（或发行股份面值总额）的差额，调整资本公积中的</w:t>
      </w:r>
    </w:p>
    <w:p>
      <w:pPr>
        <w:framePr w:w="9110" w:x="1798" w:y="695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股本溢价，资本公积中的股本溢价不足冲减的，调整留存收益。</w:t>
      </w:r>
    </w:p>
    <w:p>
      <w:pPr>
        <w:framePr w:w="9068" w:x="1798" w:y="87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如果存在或有对价并需要确认预计负债或资产，该预计负债或资产金额与后续或有对价结算</w:t>
      </w:r>
    </w:p>
    <w:p>
      <w:pPr>
        <w:framePr w:w="9068" w:x="1798" w:y="87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金额的差额，调整资本公积（资本溢价或股本溢价），资本公积不足的，调整留存收益。</w:t>
      </w:r>
    </w:p>
    <w:p>
      <w:pPr>
        <w:framePr w:w="9110" w:x="1798" w:y="96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对于通过多次交易最终实现企业合并的，属于一揽子交易的，将各项交易作为一项取得控制</w:t>
      </w:r>
    </w:p>
    <w:p>
      <w:pPr>
        <w:framePr w:w="9110" w:x="1798" w:y="96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权的交易进行会计处理；不属于一揽子交易的，在取得控制权日，长期股权投资初始投资成本，</w:t>
      </w:r>
    </w:p>
    <w:p>
      <w:pPr>
        <w:framePr w:w="9110" w:x="1798" w:y="96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与达到合并前的长期股权投资账面价值加上合并日进一步取得股份新支付对价的账面价值之和的</w:t>
      </w:r>
    </w:p>
    <w:p>
      <w:pPr>
        <w:framePr w:w="9110" w:x="1798" w:y="96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差额，调整资本公积；资本公积不足冲减的，调整留存收益。对于合并日之前持有的股权投资，</w:t>
      </w:r>
    </w:p>
    <w:p>
      <w:pPr>
        <w:framePr w:w="9110" w:x="1798" w:y="96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因采用权益法核算或金融工具确认和计量准则核算而确认的其他综合收益，暂不进行会计处理，</w:t>
      </w:r>
    </w:p>
    <w:p>
      <w:pPr>
        <w:framePr w:w="9110" w:x="1798" w:y="965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直至处置该项投资时采用与被投资单位直接处置相关资产或负债相同的基础进行会计处理；因采</w:t>
      </w:r>
    </w:p>
    <w:p>
      <w:pPr>
        <w:framePr w:w="9110" w:x="1798" w:y="96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用权益法核算而确认的被投资单位净资产中除净损益、其他综合收益和利润分配以外的所有者权</w:t>
      </w:r>
    </w:p>
    <w:p>
      <w:pPr>
        <w:framePr w:w="9110" w:x="1798" w:y="96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益其他变动，暂不进行会计处理，直至处置该项投资时转入当期损益。</w:t>
      </w:r>
    </w:p>
    <w:p>
      <w:pPr>
        <w:framePr w:w="2880" w:x="2220" w:y="130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．非同一控制下的企业合并</w:t>
      </w:r>
    </w:p>
    <w:p>
      <w:pPr>
        <w:framePr w:w="9068" w:x="1798" w:y="135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购买日是指本公司实际取得对被购买方控制权的日期，即被购买方的净资产或生产经营决策</w:t>
      </w:r>
    </w:p>
    <w:p>
      <w:pPr>
        <w:framePr w:w="9068" w:x="1798" w:y="135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的控制权转移给本公司的日期。同时满足下列条件时，本公司一般认为实现了控制权的转移：</w:t>
      </w:r>
    </w:p>
    <w:p>
      <w:pPr>
        <w:framePr w:w="5309" w:x="2218" w:y="14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①企业合并合同或协议已获本公司内部权力机构通过。</w:t>
      </w:r>
    </w:p>
    <w:p>
      <w:pPr>
        <w:framePr w:w="6365" w:x="2218" w:y="15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②企业合并事项需要经过国家有关主管部门审批的，已获得批准。</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6" type="#_x0000_t75" style="width:445.6pt;height:2.7pt;margin-top:53.65pt;margin-left:87.45pt;mso-position-horizontal-relative:page;mso-position-vertical-relative:page;position:absolute;z-index:-25157427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3" w:name="br1_82"/>
      <w:bookmarkEnd w:id="8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619"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③已办理了必要的财产权转移手续。</w:t>
      </w:r>
    </w:p>
    <w:p>
      <w:pPr>
        <w:framePr w:w="7210" w:x="221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④本公司已支付了合并价款的大部分，并且有能力、有计划支付剩余款项。</w:t>
      </w:r>
    </w:p>
    <w:p>
      <w:pPr>
        <w:framePr w:w="8688" w:x="221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⑤本公司实际上已经控制了被购买方的财务和经营政策，并享有相应的利益、承担相应的风</w:t>
      </w:r>
    </w:p>
    <w:p>
      <w:pPr>
        <w:framePr w:w="662" w:x="1798" w:y="30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险。</w:t>
      </w:r>
    </w:p>
    <w:p>
      <w:pPr>
        <w:framePr w:w="8688" w:x="2218" w:y="35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本公司在购买日对作为企业合并对价付出的资产、发生或承担的负债按照公允价值计量，公</w:t>
      </w:r>
    </w:p>
    <w:p>
      <w:pPr>
        <w:framePr w:w="4464" w:x="1798" w:y="39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允价值与其账面价值的差额，计入当期损益。</w:t>
      </w:r>
    </w:p>
    <w:p>
      <w:pPr>
        <w:framePr w:w="9110" w:x="1798" w:y="44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本公司对合并成本大于合并中取得的被购买方可辨认净资产公允价值份额的差额，确认为商</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誉；合并成本小于合并中取得的被购买方可辨认净资产公允价值份额的差额，经复核后，计入当</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期损益。</w:t>
      </w:r>
    </w:p>
    <w:p>
      <w:pPr>
        <w:framePr w:w="9110" w:x="1798" w:y="58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通过多次交换交易分步实现的非同一控制下企业合并，属于一揽子交易的，将各项交易作为</w:t>
      </w:r>
    </w:p>
    <w:p>
      <w:pPr>
        <w:framePr w:w="9110" w:x="1798" w:y="58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一项取得控制权的交易进行会计处理；不属于一揽子交易的，合并日之前持有的股权投资采用权</w:t>
      </w:r>
    </w:p>
    <w:p>
      <w:pPr>
        <w:framePr w:w="9110" w:x="1798" w:y="58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益法核算的，以购买日之前所持被购买方的股权投资的账面价值与购买日新增投资成本之和，作</w:t>
      </w:r>
    </w:p>
    <w:p>
      <w:pPr>
        <w:framePr w:w="9110" w:x="1798" w:y="58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为该项投资的初始投资成本；购买日之前持有的股权投资因采用权益法核算而确认的其他综合收</w:t>
      </w:r>
    </w:p>
    <w:p>
      <w:pPr>
        <w:framePr w:w="9110" w:x="1798" w:y="58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益，在处置该项投资时采用与被投资单位直接处置相关资产或负债相同的基础进行会计处理。合</w:t>
      </w:r>
    </w:p>
    <w:p>
      <w:pPr>
        <w:framePr w:w="9110" w:x="1798" w:y="58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并日之前持有的股权投资采用金融工具确认和计量准则核算的，以该股权投资在合并日的公允价</w:t>
      </w:r>
    </w:p>
    <w:p>
      <w:pPr>
        <w:framePr w:w="9110" w:x="1798" w:y="58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值加上新增投资成本之和，作为合并日的初始投资成本。原持有股权的公允价值与账面价值之间</w:t>
      </w:r>
    </w:p>
    <w:p>
      <w:pPr>
        <w:framePr w:w="9110" w:x="1798" w:y="58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的差额以及原计入其他综合收益的累计公允价值变动应全部转入合并日当期的投资收益。</w:t>
      </w:r>
    </w:p>
    <w:p>
      <w:pPr>
        <w:framePr w:w="2669" w:x="2220" w:y="92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．为合并发生的相关费用</w:t>
      </w:r>
    </w:p>
    <w:p>
      <w:pPr>
        <w:framePr w:w="9110" w:x="1798" w:y="973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为企业合并发生的审计、法律服务、评估咨询等中介费用以及其他直接相关费用，于发生时</w:t>
      </w:r>
    </w:p>
    <w:p>
      <w:pPr>
        <w:framePr w:w="9110" w:x="1798" w:y="973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计入当期损益；为企业合并而发行权益性证券的交易费用，可直接归属于权益性交易的从权益中</w:t>
      </w:r>
    </w:p>
    <w:p>
      <w:pPr>
        <w:framePr w:w="9110" w:x="1798" w:y="973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扣减。</w:t>
      </w:r>
    </w:p>
    <w:p>
      <w:pPr>
        <w:framePr w:w="2986" w:x="1798" w:y="11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合并财务报表的编制方法</w:t>
      </w:r>
    </w:p>
    <w:p>
      <w:pPr>
        <w:framePr w:w="1922" w:x="1798" w:y="116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402" w:x="2218" w:y="119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．合并范围</w:t>
      </w:r>
    </w:p>
    <w:p>
      <w:pPr>
        <w:framePr w:w="9068" w:x="1798" w:y="1252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本公司合并财务报表的合并范围以控制为基础确定，所有子公司（包括本公司所控制的单独</w:t>
      </w:r>
    </w:p>
    <w:p>
      <w:pPr>
        <w:framePr w:w="9068" w:x="1798" w:y="125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主体）均纳入合并财务报表。</w:t>
      </w:r>
    </w:p>
    <w:p>
      <w:pPr>
        <w:framePr w:w="1402" w:x="2220" w:y="134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．合并程序</w:t>
      </w:r>
    </w:p>
    <w:p>
      <w:pPr>
        <w:framePr w:w="9110" w:x="1798" w:y="1399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本公司以自身和各子公司的财务报表为基础，根据其他有关资料，编制合并财务报表。本公</w:t>
      </w:r>
    </w:p>
    <w:p>
      <w:pPr>
        <w:framePr w:w="9110" w:x="1798" w:y="1399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司编制合并财务报表，将整个企业集团视为一个会计主体，依据相关企业会计准则的确认、计量</w:t>
      </w:r>
    </w:p>
    <w:p>
      <w:pPr>
        <w:framePr w:w="9110" w:x="1798" w:y="139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和列报要求，按照统一的会计政策，反映本企业集团整体财务状况、经营成果和现金流量。</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7" type="#_x0000_t75" style="width:445.6pt;height:2.7pt;margin-top:53.65pt;margin-left:87.45pt;mso-position-horizontal-relative:page;mso-position-vertical-relative:page;position:absolute;z-index:-25157324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4" w:name="br1_83"/>
      <w:bookmarkEnd w:id="8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所有纳入合并财务报表合并范围的子公司所采用的会计政策、会计期间与本公司一致，如子</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公司采用的会计政策、会计期间与本公司不一致的，在编制合并财务报表时，按本公司的会计政</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策、会计期间进行必要的调整。</w:t>
      </w:r>
    </w:p>
    <w:p>
      <w:pPr>
        <w:framePr w:w="9110" w:x="1798" w:y="28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合并财务报表时抵销本公司与各子公司、各子公司相互之间发生的内部交易对合并资产负债</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表、合并利润表、合并现金流量表、合并股东权益变动表的影响。如果站在企业集团合并财务报</w:t>
      </w:r>
    </w:p>
    <w:p>
      <w:pPr>
        <w:framePr w:w="9110"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表角度与以本公司或子公司为会计主体对同一交易的认定不同时，从企业集团的角度对该交易予</w:t>
      </w:r>
    </w:p>
    <w:p>
      <w:pPr>
        <w:framePr w:w="9110" w:x="1798" w:y="288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以调整。</w:t>
      </w:r>
    </w:p>
    <w:p>
      <w:pPr>
        <w:framePr w:w="9110" w:x="1798" w:y="463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子公司所有者权益、当期净损益和当期综合收益中属于少数股东的份额分别在合并资产负债</w:t>
      </w:r>
    </w:p>
    <w:p>
      <w:pPr>
        <w:framePr w:w="9110" w:x="1798" w:y="46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表中所有者权益项目下、合并利润表中净利润项目下和综合收益总额项目下单独列示。子公司少</w:t>
      </w:r>
    </w:p>
    <w:p>
      <w:pPr>
        <w:framePr w:w="9110" w:x="1798" w:y="46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数股东分担的当期亏损超过了少数股东在该子公司期初所有者权益中所享有份额而形成的余额，</w:t>
      </w:r>
    </w:p>
    <w:p>
      <w:pPr>
        <w:framePr w:w="9110" w:x="1798" w:y="463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冲减少数股东权益。</w:t>
      </w:r>
    </w:p>
    <w:p>
      <w:pPr>
        <w:framePr w:w="9068" w:x="1798" w:y="639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对于同一控制下企业合并取得的子公司，以其资产、负债（包括最终控制方收购该子公司而</w:t>
      </w:r>
    </w:p>
    <w:p>
      <w:pPr>
        <w:framePr w:w="9068" w:x="1798" w:y="63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形成的商誉）在最终控制方财务报表中的账面价值为基础对其财务报表进行调整。</w:t>
      </w:r>
    </w:p>
    <w:p>
      <w:pPr>
        <w:framePr w:w="9068" w:x="1798" w:y="73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对于非同一控制下企业合并取得的子公司，以购买日可辨认净资产公允价值为基础对其财务</w:t>
      </w:r>
    </w:p>
    <w:p>
      <w:pPr>
        <w:framePr w:w="9068" w:x="1798" w:y="73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报表进行调整</w:t>
      </w:r>
    </w:p>
    <w:p>
      <w:pPr>
        <w:framePr w:w="2458" w:x="2218" w:y="82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）增加子公司或业务</w:t>
      </w:r>
    </w:p>
    <w:p>
      <w:pPr>
        <w:framePr w:w="9110" w:x="1798" w:y="8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在报告期内，若因同一控制下企业合并增加子公司或业务的，则调整合并资产负债表的期初</w:t>
      </w:r>
    </w:p>
    <w:p>
      <w:pPr>
        <w:framePr w:w="9110" w:x="1798" w:y="8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数；将子公司或业务合并当期期初至报告期末的收入、费用、利润纳入合并利润表；将子公司或</w:t>
      </w:r>
    </w:p>
    <w:p>
      <w:pPr>
        <w:framePr w:w="9110" w:x="1798" w:y="8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业务合并当期期初至报告期末的现金流量纳入合并现金流量表，同时对比较报表的相关项目进行</w:t>
      </w:r>
    </w:p>
    <w:p>
      <w:pPr>
        <w:framePr w:w="9110" w:x="1798" w:y="8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调整，视同合并后的报告主体自最终控制方开始控制时点起一直存在。</w:t>
      </w:r>
    </w:p>
    <w:p>
      <w:pPr>
        <w:framePr w:w="9322" w:x="1798" w:y="105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因追加投资等原因能够对同一控制下的被投资方实施控制的，视同参与合并的各方在最终控</w:t>
      </w:r>
    </w:p>
    <w:p>
      <w:pPr>
        <w:framePr w:w="9322" w:x="1798" w:y="105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制方开始控制时即以目前的状态存在进行调整。在取得被合并方控制权之前持有的股权投资，在</w:t>
      </w:r>
    </w:p>
    <w:p>
      <w:pPr>
        <w:framePr w:w="9322" w:x="1798" w:y="105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取得原股权之日与合并方和被合并方同处于同一控制之日孰晚日起至合并日之间已确认有关损益、</w:t>
      </w:r>
    </w:p>
    <w:p>
      <w:pPr>
        <w:framePr w:w="9322" w:x="1798" w:y="105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其他综合收益以及其他净资产变动，分别冲减比较报表期间的期初留存收益或当期损益。</w:t>
      </w:r>
    </w:p>
    <w:p>
      <w:pPr>
        <w:framePr w:w="9110" w:x="1798" w:y="123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在报告期内，若因非同一控制下企业合并增加子公司或业务的，则不调整合并资产负债表期</w:t>
      </w:r>
    </w:p>
    <w:p>
      <w:pPr>
        <w:framePr w:w="9110" w:x="1798" w:y="123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初数；将该子公司或业务自购买日至报告期末的收入、费用、利润纳入合并利润表；该子公司或</w:t>
      </w:r>
    </w:p>
    <w:p>
      <w:pPr>
        <w:framePr w:w="9110" w:x="1798" w:y="123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业务自购买日至报告期末的现金流量纳入合并现金流量表。</w:t>
      </w:r>
    </w:p>
    <w:p>
      <w:pPr>
        <w:framePr w:w="9110" w:x="1798" w:y="1364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因追加投资等原因能够对非同一控制下的被投资方实施控制的，对于购买日之前持有的被购</w:t>
      </w:r>
    </w:p>
    <w:p>
      <w:pPr>
        <w:framePr w:w="9110" w:x="1798" w:y="136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买方的股权，本公司按照该股权在购买日的公允价值进行重新计量，公允价值与其账面价值的差</w:t>
      </w:r>
    </w:p>
    <w:p>
      <w:pPr>
        <w:framePr w:w="9110" w:x="1798" w:y="1364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额计入当期投资收益。购买日之前持有的被购买方的股权涉及权益法核算下的其他综合收益以及</w:t>
      </w:r>
    </w:p>
    <w:p>
      <w:pPr>
        <w:framePr w:w="9110" w:x="1798" w:y="136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除净损益、其他综合收益和利润分配之外的其他所有者权益变动的，与其相关的其他综合收益、</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8" type="#_x0000_t75" style="width:445.6pt;height:2.7pt;margin-top:53.65pt;margin-left:87.45pt;mso-position-horizontal-relative:page;mso-position-vertical-relative:page;position:absolute;z-index:-25157222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5" w:name="br1_84"/>
      <w:bookmarkEnd w:id="8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其他所有者权益变动转为购买日所属当期投资收益，由于被投资方重新计量设定受益计划净负债</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或净资产变动而产生的其他综合收益除外。</w:t>
      </w:r>
    </w:p>
    <w:p>
      <w:pPr>
        <w:framePr w:w="2458" w:x="221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）处置子公司或业务</w:t>
      </w:r>
    </w:p>
    <w:p>
      <w:pPr>
        <w:framePr w:w="2458" w:x="2218" w:y="247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）一般处理方法</w:t>
      </w:r>
    </w:p>
    <w:p>
      <w:pPr>
        <w:framePr w:w="9068" w:x="1798" w:y="353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在报告期内，本公司处置子公司或业务，则该子公司或业务期初至处置日的收入、费用、利</w:t>
      </w:r>
    </w:p>
    <w:p>
      <w:pPr>
        <w:framePr w:w="9068" w:x="1798" w:y="353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润纳入合并利润表；该子公司或业务期初至处置日的现金流量纳入合并现金流量表。</w:t>
      </w:r>
    </w:p>
    <w:p>
      <w:pPr>
        <w:framePr w:w="9110" w:x="1798" w:y="44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因处置部分股权投资或其他原因丧失了对被投资方控制权时，对于处置后的剩余股权投资，</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本公司按照其在丧失控制权日的公允价值进行重新计量。处置股权取得的对价与剩余股权公允价</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值之和，减去按原持股比例计算应享有原有子公司自购买日或合并日开始持续计算的净资产的份</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额与商誉之和的差额，计入丧失控制权当期的投资收益。与原有子公司股权投资相关的其他综合</w:t>
      </w:r>
    </w:p>
    <w:p>
      <w:pPr>
        <w:framePr w:w="9110" w:x="1798" w:y="446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收益或除净损益、其他综合收益及利润分配之外的其他所有者权益变动，在丧失控制权时转为当</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期投资收益，由于被投资方重新计量设定受益计划净负债或净资产变动而产生的其他综合收益除</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外。</w:t>
      </w:r>
    </w:p>
    <w:p>
      <w:pPr>
        <w:framePr w:w="2035" w:x="2218" w:y="7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）分步处置子公司</w:t>
      </w:r>
    </w:p>
    <w:p>
      <w:pPr>
        <w:framePr w:w="9110" w:x="1798" w:y="797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通过多次交易分步处置对子公司股权投资直至丧失控制权的，处置对子公司股权投资的各项</w:t>
      </w:r>
    </w:p>
    <w:p>
      <w:pPr>
        <w:framePr w:w="9110" w:x="1798" w:y="797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交易的条款、条件以及经济影响符合以下一种或多种情况，通常表明应将多次交易事项作为一揽</w:t>
      </w:r>
    </w:p>
    <w:p>
      <w:pPr>
        <w:framePr w:w="9110" w:x="1798" w:y="79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子交易进行会计处理：</w:t>
      </w:r>
    </w:p>
    <w:p>
      <w:pPr>
        <w:framePr w:w="5731" w:x="2218" w:y="9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A.</w:t>
      </w:r>
      <w:r>
        <w:rPr>
          <w:rFonts w:ascii="SimSun" w:hAnsi="SimSun" w:eastAsiaTheme="minorEastAsia" w:cs="SimSun"/>
          <w:color w:val="000000"/>
          <w:sz w:val="21"/>
          <w:szCs w:val="22"/>
          <w:lang w:val="en-US" w:eastAsia="en-US" w:bidi="ar-SA"/>
        </w:rPr>
        <w:t>这些交易是同时或者在考虑了彼此影响的情况下订立的；</w:t>
      </w:r>
    </w:p>
    <w:p>
      <w:pPr>
        <w:framePr w:w="5731" w:x="2218" w:y="93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B.</w:t>
      </w:r>
      <w:r>
        <w:rPr>
          <w:rFonts w:ascii="SimSun" w:hAnsi="SimSun" w:eastAsiaTheme="minorEastAsia" w:cs="SimSun"/>
          <w:color w:val="000000"/>
          <w:sz w:val="21"/>
          <w:szCs w:val="22"/>
          <w:lang w:val="en-US" w:eastAsia="en-US" w:bidi="ar-SA"/>
        </w:rPr>
        <w:t>这些交易整体才能达成一项完整的商业结果；</w:t>
      </w:r>
    </w:p>
    <w:p>
      <w:pPr>
        <w:framePr w:w="6787" w:x="2218" w:y="103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C.</w:t>
      </w:r>
      <w:r>
        <w:rPr>
          <w:rFonts w:ascii="SimSun" w:hAnsi="SimSun" w:eastAsiaTheme="minorEastAsia" w:cs="SimSun"/>
          <w:color w:val="000000"/>
          <w:sz w:val="21"/>
          <w:szCs w:val="22"/>
          <w:lang w:val="en-US" w:eastAsia="en-US" w:bidi="ar-SA"/>
        </w:rPr>
        <w:t>一项交易的发生取决于其他至少一项交易的发生；</w:t>
      </w:r>
    </w:p>
    <w:p>
      <w:pPr>
        <w:framePr w:w="6787" w:x="2218" w:y="1037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D.</w:t>
      </w:r>
      <w:r>
        <w:rPr>
          <w:rFonts w:ascii="SimSun" w:hAnsi="SimSun" w:eastAsiaTheme="minorEastAsia" w:cs="SimSun"/>
          <w:color w:val="000000"/>
          <w:sz w:val="21"/>
          <w:szCs w:val="22"/>
          <w:lang w:val="en-US" w:eastAsia="en-US" w:bidi="ar-SA"/>
        </w:rPr>
        <w:t>一项交易单独看是不经济的，但是和其他交易一并考虑时是经济的。</w:t>
      </w:r>
    </w:p>
    <w:p>
      <w:pPr>
        <w:framePr w:w="9110" w:x="1798" w:y="1143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处置对子公司股权投资直至丧失控制权的各项交易属于一揽子交易的，本公司将各项交易作</w:t>
      </w:r>
    </w:p>
    <w:p>
      <w:pPr>
        <w:framePr w:w="9110" w:x="1798" w:y="114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为一项处置子公司并丧失控制权的交易进行会计处理；但是，在丧失控制权之前每一次处置价款</w:t>
      </w:r>
    </w:p>
    <w:p>
      <w:pPr>
        <w:framePr w:w="9110" w:x="1798" w:y="114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与处置投资对应的享有该子公司净资产份额的差额，在合并财务报表中确认为其他综合收益，在</w:t>
      </w:r>
    </w:p>
    <w:p>
      <w:pPr>
        <w:framePr w:w="9110" w:x="1798" w:y="11437"/>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丧失控制权时一并转入丧失控制权当期的损益。</w:t>
      </w:r>
    </w:p>
    <w:p>
      <w:pPr>
        <w:framePr w:w="9184" w:x="1798" w:y="1319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处置对子公司股权投资直至丧失控制权的各项交易不属于一揽子交易的，在丧失控制权之前，</w:t>
      </w:r>
    </w:p>
    <w:p>
      <w:pPr>
        <w:framePr w:w="9184" w:x="1798" w:y="131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按不丧失控制权的情况下部分处置对子公司的股权投资的相关政策进行会计处理；在丧失控制权</w:t>
      </w:r>
    </w:p>
    <w:p>
      <w:pPr>
        <w:framePr w:w="9184" w:x="1798" w:y="131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时，按处置子公司一般处理方法进行会计处理。</w:t>
      </w:r>
    </w:p>
    <w:p>
      <w:pPr>
        <w:framePr w:w="2669" w:x="2218" w:y="145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）购买子公司少数股权</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9" type="#_x0000_t75" style="width:445.6pt;height:2.7pt;margin-top:53.65pt;margin-left:87.45pt;mso-position-horizontal-relative:page;mso-position-vertical-relative:page;position:absolute;z-index:-25157120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6" w:name="br1_85"/>
      <w:bookmarkEnd w:id="8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本公司因购买少数股权新取得的长期股权投资与按照新增持股比例计算应享有子公司自购买</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日（或合并日）开始持续计算的净资产份额之间的差额，调整合并资产负债表中的资本公积中的</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股本溢价，资本公积中的股本溢价不足冲减的，调整留存收益。</w:t>
      </w:r>
    </w:p>
    <w:p>
      <w:pPr>
        <w:framePr w:w="5626" w:x="2218" w:y="28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）不丧失控制权的情况下部分处置对子公司的股权投资</w:t>
      </w:r>
    </w:p>
    <w:p>
      <w:pPr>
        <w:framePr w:w="9110" w:x="1798" w:y="341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在不丧失控制权的情况下因部分处置对子公司的长期股权投资而取得的处置价款与处置长期</w:t>
      </w:r>
    </w:p>
    <w:p>
      <w:pPr>
        <w:framePr w:w="9110" w:x="1798" w:y="341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股权投资相对应享有子公司自购买日或合并日开始持续计算的净资产份额之间的差额，调整合并</w:t>
      </w:r>
    </w:p>
    <w:p>
      <w:pPr>
        <w:framePr w:w="9110" w:x="1798" w:y="341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资产负债表中的资本公积中的股本溢价，资本公积中的股本溢价不足冲减的，调整留存收益。</w:t>
      </w:r>
    </w:p>
    <w:p>
      <w:pPr>
        <w:framePr w:w="4250" w:x="1798" w:y="47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合营安排分类及共同经营会计处理方法</w:t>
      </w:r>
    </w:p>
    <w:p>
      <w:pPr>
        <w:framePr w:w="1922" w:x="1798" w:y="52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35" w:x="2218" w:y="56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．合营安排的分类</w:t>
      </w:r>
    </w:p>
    <w:p>
      <w:pPr>
        <w:framePr w:w="9068" w:x="1798" w:y="620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本公司根据合营安排的结构、法律形式以及合营安排中约定的条款、其他相关事实和情况等</w:t>
      </w:r>
    </w:p>
    <w:p>
      <w:pPr>
        <w:framePr w:w="9068" w:x="1798" w:y="620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因素，将合营安排分为共同经营和合营企业。</w:t>
      </w:r>
    </w:p>
    <w:p>
      <w:pPr>
        <w:framePr w:w="9110" w:x="1798" w:y="71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未通过单独主体达成的合营安排，划分为共同经营；通过单独主体达成的合营安排，通常划</w:t>
      </w:r>
    </w:p>
    <w:p>
      <w:pPr>
        <w:framePr w:w="9110" w:x="1798" w:y="71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分为合营企业；但有确凿证据表明满足下列任一条件并且符合相关法律法规规定的合营安排划分</w:t>
      </w:r>
    </w:p>
    <w:p>
      <w:pPr>
        <w:framePr w:w="9110" w:x="1798" w:y="714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为共同经营：</w:t>
      </w:r>
    </w:p>
    <w:p>
      <w:pPr>
        <w:framePr w:w="8794" w:x="2218" w:y="84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）合营安排的法律形式表明，合营方对该安排中的相关资产和负债分别享有权利和承担义</w:t>
      </w:r>
    </w:p>
    <w:p>
      <w:pPr>
        <w:framePr w:w="662" w:x="1798" w:y="88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务。</w:t>
      </w:r>
    </w:p>
    <w:p>
      <w:pPr>
        <w:framePr w:w="8794" w:x="2218" w:y="9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）合营安排的合同条款约定，合营方对该安排中的相关资产和负债分别享有权利和承担义</w:t>
      </w:r>
    </w:p>
    <w:p>
      <w:pPr>
        <w:framePr w:w="662" w:x="1798" w:y="98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务。</w:t>
      </w:r>
    </w:p>
    <w:p>
      <w:pPr>
        <w:framePr w:w="9110" w:x="1798" w:y="1036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）其他相关事实和情况表明，合营方对该安排中的相关资产和负债分别享有权利和承担义</w:t>
      </w:r>
    </w:p>
    <w:p>
      <w:pPr>
        <w:framePr w:w="9110" w:x="1798" w:y="103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务，如合营方享有与合营安排相关的几乎所有产出，并且该安排中负债的清偿持续依赖于合营方</w:t>
      </w:r>
    </w:p>
    <w:p>
      <w:pPr>
        <w:framePr w:w="9110" w:x="1798" w:y="103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的支持。</w:t>
      </w:r>
    </w:p>
    <w:p>
      <w:pPr>
        <w:framePr w:w="2669" w:x="2220" w:y="117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．共同经营会计处理方法</w:t>
      </w:r>
    </w:p>
    <w:p>
      <w:pPr>
        <w:framePr w:w="9068" w:x="1798" w:y="122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本公司确认共同经营中利益份额中与本公司相关的下列项目，并按照相关企业会计准则的规</w:t>
      </w:r>
    </w:p>
    <w:p>
      <w:pPr>
        <w:framePr w:w="9068" w:x="1798" w:y="122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定进行会计处理：</w:t>
      </w:r>
    </w:p>
    <w:p>
      <w:pPr>
        <w:framePr w:w="6470" w:x="2218" w:y="13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）确认单独所持有的资产，以及按其份额确认共同持有的资产；</w:t>
      </w:r>
    </w:p>
    <w:p>
      <w:pPr>
        <w:framePr w:w="6470" w:x="2218" w:y="1317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）确认单独所承担的负债，以及按其份额确认共同承担的负债；</w:t>
      </w:r>
    </w:p>
    <w:p>
      <w:pPr>
        <w:framePr w:w="6470" w:x="2218" w:y="1317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）确认出售其享有的共同经营产出份额所产生的收入；</w:t>
      </w:r>
    </w:p>
    <w:p>
      <w:pPr>
        <w:framePr w:w="6470" w:x="2218" w:y="13175"/>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）按其份额确认共同经营因出售产出所产生的收入；</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0" type="#_x0000_t75" style="width:445.6pt;height:2.7pt;margin-top:53.65pt;margin-left:87.45pt;mso-position-horizontal-relative:page;mso-position-vertical-relative:page;position:absolute;z-index:-25157017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7" w:name="br1_86"/>
      <w:bookmarkEnd w:id="8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893"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）确认单独所发生的费用，以及按其份额确认共同经营发生的费用。</w:t>
      </w:r>
    </w:p>
    <w:p>
      <w:pPr>
        <w:framePr w:w="9110" w:x="1798" w:y="20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本公司向共同经营投出或出售资产等（该资产构成业务的除外），在该资产等由共同经营出</w:t>
      </w:r>
    </w:p>
    <w:p>
      <w:pPr>
        <w:framePr w:w="9110"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售给第三方之前，仅确认因该交易产生的损益中归属于共同经营其他参与方的部分。投出或出售</w:t>
      </w:r>
    </w:p>
    <w:p>
      <w:pPr>
        <w:framePr w:w="9110"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的资产发生符合《企业会计准则第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号——资产减值》等规定的资产减值损失的，本公司全额确</w:t>
      </w:r>
    </w:p>
    <w:p>
      <w:pPr>
        <w:framePr w:w="9110"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认该损失。</w:t>
      </w:r>
    </w:p>
    <w:p>
      <w:pPr>
        <w:framePr w:w="9110" w:x="1798" w:y="38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本公司自共同经营购买资产等（该资产构成业务的除外），在将该资产等出售给第三方之前，</w:t>
      </w:r>
    </w:p>
    <w:p>
      <w:pPr>
        <w:framePr w:w="9110" w:x="1798" w:y="381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仅确认因该交易产生的损益中归属于共同经营其他参与方的部分。购入的资产发生符合《企业会</w:t>
      </w:r>
    </w:p>
    <w:p>
      <w:pPr>
        <w:framePr w:w="9110" w:x="1798" w:y="38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计准则第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号——资产减值》等规定的资产减值损失的，本公司按承担的份额确认该部分损失。</w:t>
      </w:r>
    </w:p>
    <w:p>
      <w:pPr>
        <w:framePr w:w="8688" w:x="2218" w:y="5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本公司对共同经营不享有共同控制，如果本公司享有该共同经营相关资产且承担该共同经营</w:t>
      </w:r>
    </w:p>
    <w:p>
      <w:pPr>
        <w:framePr w:w="9110" w:x="1798" w:y="5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相关负债的，仍按上述原则进行会计处理，否则，应当按照相关企业会计准则的规定进行会计处</w:t>
      </w:r>
    </w:p>
    <w:p>
      <w:pPr>
        <w:framePr w:w="9110" w:x="1798" w:y="557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理。</w:t>
      </w:r>
    </w:p>
    <w:p>
      <w:pPr>
        <w:framePr w:w="3406" w:x="1798" w:y="65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现金及现金等价物的确定标准</w:t>
      </w:r>
    </w:p>
    <w:p>
      <w:pPr>
        <w:framePr w:w="9110" w:x="1798" w:y="70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在编制现金流量表时，将本公司库存现金以及可以随时用于支付的存款确认为现金。将同时</w:t>
      </w:r>
    </w:p>
    <w:p>
      <w:pPr>
        <w:framePr w:w="9110" w:x="1798" w:y="70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具备期限短（一般从购买日起三个月内到期）、流动性强、易于转换为已知金额的现金、价值变</w:t>
      </w:r>
    </w:p>
    <w:p>
      <w:pPr>
        <w:framePr w:w="9110" w:x="1798" w:y="70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动风险很小四个条件的投资，确定为现金等价物。</w:t>
      </w:r>
    </w:p>
    <w:p>
      <w:pPr>
        <w:framePr w:w="2986" w:x="1798" w:y="8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外币业务和外币报表折算</w:t>
      </w:r>
    </w:p>
    <w:p>
      <w:pPr>
        <w:framePr w:w="1922" w:x="1798" w:y="89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402" w:x="2218" w:y="93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．外币业务</w:t>
      </w:r>
    </w:p>
    <w:p>
      <w:pPr>
        <w:framePr w:w="8688" w:x="2218" w:y="98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外币业务交易在初始确认时，采用交易发生日的即期汇率作为折算汇率折合成人民币记账。</w:t>
      </w:r>
    </w:p>
    <w:p>
      <w:pPr>
        <w:framePr w:w="9110" w:x="1798" w:y="1036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资产负债表日，外币货币性项目按资产负债表日即期汇率折算，由此产生的汇兑差额，除属</w:t>
      </w:r>
    </w:p>
    <w:p>
      <w:pPr>
        <w:framePr w:w="9110" w:x="1798" w:y="103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于与购建符合资本化条件的资产相关的外币专门借款产生的汇兑差额按照借款费用资本化的原则</w:t>
      </w:r>
    </w:p>
    <w:p>
      <w:pPr>
        <w:framePr w:w="9110" w:x="1798" w:y="103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处理外，均计入当期损益。以历史成本计量的外币非货币性项目，仍采用交易发生日的即期汇率</w:t>
      </w:r>
    </w:p>
    <w:p>
      <w:pPr>
        <w:framePr w:w="9110" w:x="1798" w:y="103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折算，不改变其记账本位币金额。</w:t>
      </w:r>
    </w:p>
    <w:p>
      <w:pPr>
        <w:framePr w:w="9110" w:x="1798" w:y="121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以公允价值计量的外币非货币性项目，采用公允价值确定日的即期汇率折算，折算后的记账</w:t>
      </w:r>
    </w:p>
    <w:p>
      <w:pPr>
        <w:framePr w:w="9110" w:x="1798" w:y="121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本位币金额与原记账本位币金额的差额，作为公允价值变动</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含汇率变动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处理，计入当期损益或</w:t>
      </w:r>
    </w:p>
    <w:p>
      <w:pPr>
        <w:framePr w:w="9110" w:x="1798" w:y="121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确认为其他综合收益。</w:t>
      </w:r>
    </w:p>
    <w:p>
      <w:pPr>
        <w:framePr w:w="2458" w:x="2220" w:y="134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．外币财务报表的折算</w:t>
      </w:r>
    </w:p>
    <w:p>
      <w:pPr>
        <w:framePr w:w="9110" w:x="1798" w:y="1399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资产负债表中的资产和负债项目，采用资产负债表日的即期汇率折算；所有者权益项目除“未</w:t>
      </w:r>
    </w:p>
    <w:p>
      <w:pPr>
        <w:framePr w:w="9110" w:x="1798" w:y="1399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分配利润”项目外，其他项目采用发生时的即期汇率折算。利润表中的收入和费用项目，采用交</w:t>
      </w:r>
    </w:p>
    <w:p>
      <w:pPr>
        <w:framePr w:w="9110" w:x="1798" w:y="139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易发生日的即期汇率折算。按照上述折算产生的外币财务报表折算差额计入其他综合收益。</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1" type="#_x0000_t75" style="width:445.6pt;height:2.7pt;margin-top:53.65pt;margin-left:87.45pt;mso-position-horizontal-relative:page;mso-position-vertical-relative:page;position:absolute;z-index:-25156915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8" w:name="br1_87"/>
      <w:bookmarkEnd w:id="8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处置境外经营时，将资产负债表中其他综合收益项目中列示的、与该境外经营相关的外币财</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务报表折算差额，自其他综合收益项目转入处置当期损益；在处置部分股权投资或其他原因导致</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持有境外经营权益比例降低但不丧失对境外经营控制权时，与该境外经营处置部分相关的外币报</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表折算差额将归属于少数股东权益，不转入当期损益。在处置境外经营为联营企业或合营企业的</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部分股权时，与该境外经营相关的外币报表折算差额，按处置该境外经营的比例转入处置当期损</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益。</w:t>
      </w:r>
    </w:p>
    <w:p>
      <w:pPr>
        <w:framePr w:w="1510" w:x="1798" w:y="41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金融工具</w:t>
      </w:r>
    </w:p>
    <w:p>
      <w:pPr>
        <w:framePr w:w="1922" w:x="1798" w:y="4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576" w:x="2218" w:y="50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在本公司成为金融工具合同的一方时确认一项金融资产或金融负债。</w:t>
      </w:r>
    </w:p>
    <w:p>
      <w:pPr>
        <w:framePr w:w="9068" w:x="1798" w:y="555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实际利率法是指计算金融资产或金融负债的摊余成本以及将利息收入或利息费用分摊计入各</w:t>
      </w:r>
    </w:p>
    <w:p>
      <w:pPr>
        <w:framePr w:w="9068" w:x="1798" w:y="555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会计期间的方法。</w:t>
      </w:r>
    </w:p>
    <w:p>
      <w:pPr>
        <w:framePr w:w="9110" w:x="1798" w:y="649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实际利率，是指将金融资产或金融负债在预计存续期的估计未来现金流量，折现为该金融资</w:t>
      </w:r>
    </w:p>
    <w:p>
      <w:pPr>
        <w:framePr w:w="9110" w:x="1798" w:y="649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产账面余额或该金融负债摊余成本所使用的利率。在确定实际利率时，在考虑金融资产或金融负</w:t>
      </w:r>
    </w:p>
    <w:p>
      <w:pPr>
        <w:framePr w:w="9110" w:x="1798" w:y="649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债所有合同条款</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如提前还款、展期、看涨期权或其他类似期权等</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的基础上估计预期现金流量，</w:t>
      </w:r>
    </w:p>
    <w:p>
      <w:pPr>
        <w:framePr w:w="9110" w:x="1798" w:y="649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但不考虑预期信用损失。</w:t>
      </w:r>
    </w:p>
    <w:p>
      <w:pPr>
        <w:framePr w:w="9110" w:x="1798" w:y="82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金融资产或金融负债的摊余成本是以该金融资产或金融负债的初始确认金额扣除已偿还的本</w:t>
      </w:r>
    </w:p>
    <w:p>
      <w:pPr>
        <w:framePr w:w="9110" w:x="1798" w:y="82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金，加上或减去采用实际利率法将该初始确认金额与到期日金额之间的差额进行摊销形成的累计</w:t>
      </w:r>
    </w:p>
    <w:p>
      <w:pPr>
        <w:framePr w:w="9110" w:x="1798" w:y="82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摊销额，再扣除累计计提的损失准备</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仅适用于金融资产</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2458" w:x="2220" w:y="95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．金融资产分类和计量</w:t>
      </w:r>
    </w:p>
    <w:p>
      <w:pPr>
        <w:framePr w:w="9068" w:x="1798" w:y="1012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本公司根据所管理金融资产的业务模式和金融资产的合同现金流量特征，将金融资产划分为</w:t>
      </w:r>
    </w:p>
    <w:p>
      <w:pPr>
        <w:framePr w:w="9068" w:x="1798" w:y="1012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以下三类：</w:t>
      </w:r>
    </w:p>
    <w:p>
      <w:pPr>
        <w:framePr w:w="3514" w:x="2218" w:y="110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）以摊余成本计量的金融资产。</w:t>
      </w:r>
    </w:p>
    <w:p>
      <w:pPr>
        <w:framePr w:w="6048" w:x="2218" w:y="11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）以公允价值计量且其变动计入其他综合收益的金融资产。</w:t>
      </w:r>
    </w:p>
    <w:p>
      <w:pPr>
        <w:framePr w:w="6048" w:x="2218" w:y="1158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）以公允价值计量且其变动计入当期损益的金融资产。</w:t>
      </w:r>
    </w:p>
    <w:p>
      <w:pPr>
        <w:framePr w:w="9068" w:x="1798" w:y="1264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金融资产在初始确认时以公允价值计量，但是因销售商品或提供服务等产生的应收账款或应</w:t>
      </w:r>
    </w:p>
    <w:p>
      <w:pPr>
        <w:framePr w:w="9068" w:x="1798" w:y="1264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收票据未包含重大融资成分或不考虑不超过一年的融资成分的，按照交易价格进行初始计量。</w:t>
      </w:r>
    </w:p>
    <w:p>
      <w:pPr>
        <w:framePr w:w="9068" w:x="1798" w:y="1358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对于以公允价值计量且其变动计入当期损益的金融资产，相关交易费用直接计入当期损益，</w:t>
      </w:r>
    </w:p>
    <w:p>
      <w:pPr>
        <w:framePr w:w="9068" w:x="1798" w:y="1358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其他类别的金融资产相关交易费用计入其初始确认金额。</w:t>
      </w:r>
    </w:p>
    <w:p>
      <w:pPr>
        <w:framePr w:w="9068" w:x="1798" w:y="1452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金融资产的后续计量取决于其分类，当且仅当本公司改变管理金融资产的业务模式时，才对</w:t>
      </w:r>
    </w:p>
    <w:p>
      <w:pPr>
        <w:framePr w:w="9068" w:x="1798" w:y="1452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所有受影响的相关金融资产进行重分类。</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2" type="#_x0000_t75" style="width:445.6pt;height:2.7pt;margin-top:53.65pt;margin-left:87.45pt;mso-position-horizontal-relative:page;mso-position-vertical-relative:page;position:absolute;z-index:-25156812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9" w:name="br1_88"/>
      <w:bookmarkEnd w:id="8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936"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）分类为以摊余成本计量的金融资产</w:t>
      </w:r>
    </w:p>
    <w:p>
      <w:pPr>
        <w:framePr w:w="9322" w:x="1798" w:y="20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金融资产的合同条款规定在特定日期产生的现金流量仅为对本金和以未偿付本金金额为基础</w:t>
      </w:r>
    </w:p>
    <w:p>
      <w:pPr>
        <w:framePr w:w="9322"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的利息的支付，且管理该金融资产的业务模式是以收取合同现金流量为目标，则本公司将该金融</w:t>
      </w:r>
    </w:p>
    <w:p>
      <w:pPr>
        <w:framePr w:w="9322"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资产分类为以摊余成本计量的金融资产。本公司分类为以摊余成本计量的金融资产包括货币资金、</w:t>
      </w:r>
    </w:p>
    <w:p>
      <w:pPr>
        <w:framePr w:w="9322"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应收票据及应收账款、其他应收款、长期应收款、债权投资等。</w:t>
      </w:r>
    </w:p>
    <w:p>
      <w:pPr>
        <w:framePr w:w="9110" w:x="1798" w:y="38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本公司对此类金融资产采用实际利率法确认利息收入，按摊余成本进行后续计量，其发生减</w:t>
      </w:r>
    </w:p>
    <w:p>
      <w:pPr>
        <w:framePr w:w="9110" w:x="1798" w:y="381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值时或终止确认、修改产生的利得或损失，计入当期损益。除下列情况外，本公司根据金融资产</w:t>
      </w:r>
    </w:p>
    <w:p>
      <w:pPr>
        <w:framePr w:w="9110" w:x="1798" w:y="38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账面余额乘以实际利率计算确定利息收入：</w:t>
      </w:r>
    </w:p>
    <w:p>
      <w:pPr>
        <w:framePr w:w="8794" w:x="2218" w:y="5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）对于购入或源生的已发生信用减值的金融资产，本公司自初始确认起，按照该金融资产的</w:t>
      </w:r>
    </w:p>
    <w:p>
      <w:pPr>
        <w:framePr w:w="5520" w:x="1798" w:y="5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摊余成本和经信用调整的实际利率计算确定其利息收入。</w:t>
      </w:r>
    </w:p>
    <w:p>
      <w:pPr>
        <w:framePr w:w="9110" w:x="1798" w:y="610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）对于购入或源生的未发生信用减值、但在后续期间成为已发生信用减值的金融资产，本公</w:t>
      </w:r>
    </w:p>
    <w:p>
      <w:pPr>
        <w:framePr w:w="9110" w:x="1798" w:y="61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司在后续期间，按照该金融资产的摊余成本和实际利率计算确定其利息收入。若该金融工具在后</w:t>
      </w:r>
    </w:p>
    <w:p>
      <w:pPr>
        <w:framePr w:w="9110" w:x="1798" w:y="61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续期间因其信用风险有所改善而不再存在信用减值，本公司转按实际利率乘以该金融资产账面余</w:t>
      </w:r>
    </w:p>
    <w:p>
      <w:pPr>
        <w:framePr w:w="9110" w:x="1798" w:y="61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额来计算确定利息收入。</w:t>
      </w:r>
    </w:p>
    <w:p>
      <w:pPr>
        <w:framePr w:w="6470" w:x="2218" w:y="78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）分类为以公允价值计量且其变动计入其他综合收益的金融资产</w:t>
      </w:r>
    </w:p>
    <w:p>
      <w:pPr>
        <w:framePr w:w="9110" w:x="1798" w:y="838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金融资产的合同条款规定在特定日期产生的现金流量仅为对本金和以未偿付本金金额为基础</w:t>
      </w:r>
    </w:p>
    <w:p>
      <w:pPr>
        <w:framePr w:w="9110" w:x="1798" w:y="83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的利息的支付，且管理该金融资产的业务模式既以收取合同现金流量为目标又以出售该金融资产</w:t>
      </w:r>
    </w:p>
    <w:p>
      <w:pPr>
        <w:framePr w:w="9110" w:x="1798" w:y="83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为目标，则本公司将该金融资产分类为以公允价值计量且其变动计入其他综合收益的金融资产。</w:t>
      </w:r>
    </w:p>
    <w:p>
      <w:pPr>
        <w:framePr w:w="9110" w:x="1798" w:y="973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本公司对此类金融资产采用实际利率法确认利息收入。除利息收入、减值损失及汇兑差额确</w:t>
      </w:r>
    </w:p>
    <w:p>
      <w:pPr>
        <w:framePr w:w="9110" w:x="1798" w:y="973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认为当期损益外，其余公允价值变动计入其他综合收益。当该金融资产终止确认时，之前计入其</w:t>
      </w:r>
    </w:p>
    <w:p>
      <w:pPr>
        <w:framePr w:w="9110" w:x="1798" w:y="973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他综合收益的累计利得或损失从其他综合收益中转出，计入当期损益。</w:t>
      </w:r>
    </w:p>
    <w:p>
      <w:pPr>
        <w:framePr w:w="9110" w:x="1798" w:y="110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以公允价值计量且变动计入其他综合收益的应收票据及应收账款列报为应收款项融资，其他</w:t>
      </w:r>
    </w:p>
    <w:p>
      <w:pPr>
        <w:framePr w:w="9110" w:x="1798" w:y="110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此类金融资产列报为其他债权投资，其中：自资产负债表日起一年内到期的其他债权投资列报为</w:t>
      </w:r>
    </w:p>
    <w:p>
      <w:pPr>
        <w:framePr w:w="9110" w:x="1798" w:y="110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一年内到期的非流动资产，原到期日在一年以内的其他债权投资列报为其他流动资产。</w:t>
      </w:r>
    </w:p>
    <w:p>
      <w:pPr>
        <w:framePr w:w="6470" w:x="2218" w:y="124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）指定为以公允价值计量且其变动计入其他综合收益的金融资产</w:t>
      </w:r>
    </w:p>
    <w:p>
      <w:pPr>
        <w:framePr w:w="9068" w:x="1798" w:y="1295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在初始确认时，本公司可以单项金融资产为基础不可撤销地将非交易性权益工具投资指定为</w:t>
      </w:r>
    </w:p>
    <w:p>
      <w:pPr>
        <w:framePr w:w="9068" w:x="1798" w:y="1295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以公允价值计量且其变动计入其他综合收益的金融资产。</w:t>
      </w:r>
    </w:p>
    <w:p>
      <w:pPr>
        <w:framePr w:w="9110" w:x="1798" w:y="1388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此类金融资产的公允价值变动计入其他综合收益，不需计提减值准备。该金融资产终止确认</w:t>
      </w:r>
    </w:p>
    <w:p>
      <w:pPr>
        <w:framePr w:w="9110" w:x="1798" w:y="1388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时，之前计入其他综合收益的累计利得或损失从其他综合收益中转出，计入留存收益。本公司持</w:t>
      </w:r>
    </w:p>
    <w:p>
      <w:pPr>
        <w:framePr w:w="9110" w:x="1798" w:y="1388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有该权益工具投资期间，在本公司收取股利的权利已经确立，与股利相关的经济利益很可能流入</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3" type="#_x0000_t75" style="width:445.6pt;height:2.7pt;margin-top:53.65pt;margin-left:87.45pt;mso-position-horizontal-relative:page;mso-position-vertical-relative:page;position:absolute;z-index:-25156710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0" w:name="br1_89"/>
      <w:bookmarkEnd w:id="9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本公司，且股利的金额能够可靠计量时，确认股利收入并计入当期损益。本公司对此类金融资产</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在其他权益工具投资项目下列报。</w:t>
      </w:r>
    </w:p>
    <w:p>
      <w:pPr>
        <w:framePr w:w="9184" w:x="1798" w:y="24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权益工具投资满足下列条件之一的，属于以公允价值计量且其变动计入当期损益的金融资产：</w:t>
      </w:r>
    </w:p>
    <w:p>
      <w:pPr>
        <w:framePr w:w="9184"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取得该金融资产的目的主要是为了近期出售；初始确认时属于集中管理的可辨认金融资产工具组</w:t>
      </w:r>
    </w:p>
    <w:p>
      <w:pPr>
        <w:framePr w:w="9184"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合的一部分，且有客观证据表明近期实际存在短期获利模式；属于衍生工具（符合财务担保合同</w:t>
      </w:r>
    </w:p>
    <w:p>
      <w:pPr>
        <w:framePr w:w="9184"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定义的以及被指定为有效套期工具的衍生工具除外）。</w:t>
      </w:r>
    </w:p>
    <w:p>
      <w:pPr>
        <w:framePr w:w="6048" w:x="2218" w:y="4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）分类为以公允价值计量且其变动计入当期损益的金融资产</w:t>
      </w:r>
    </w:p>
    <w:p>
      <w:pPr>
        <w:framePr w:w="9287" w:x="1798" w:y="475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不符合分类为以摊余成本计量或以公允价值计量且其变动计入其他综合收益的金融资产条件、</w:t>
      </w:r>
    </w:p>
    <w:p>
      <w:pPr>
        <w:framePr w:w="9287" w:x="1798" w:y="47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亦不指定为以公允价值计量且其变动计入其他综合收益的金融资产均分类为以公允价值计量且其</w:t>
      </w:r>
    </w:p>
    <w:p>
      <w:pPr>
        <w:framePr w:w="9287" w:x="1798" w:y="47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变动计入当期损益的金融资产。</w:t>
      </w:r>
    </w:p>
    <w:p>
      <w:pPr>
        <w:framePr w:w="9068" w:x="1798" w:y="610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本公司对此类金融资产采用公允价值进行后续计量，将公允价值变动形成的利得或损失以及</w:t>
      </w:r>
    </w:p>
    <w:p>
      <w:pPr>
        <w:framePr w:w="9068" w:x="1798" w:y="61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与此类金融资产相关的股利和利息收入计入当期损益。</w:t>
      </w:r>
    </w:p>
    <w:p>
      <w:pPr>
        <w:framePr w:w="8477" w:x="2218" w:y="70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本公司对此类金融资产根据其流动性在交易性金融资产、其他非流动金融资产项目列报。</w:t>
      </w:r>
    </w:p>
    <w:p>
      <w:pPr>
        <w:framePr w:w="6048" w:x="2218" w:y="7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）指定为以公允价值计量且其变动计入当期损益的金融资产</w:t>
      </w:r>
    </w:p>
    <w:p>
      <w:pPr>
        <w:framePr w:w="9068" w:x="1798" w:y="809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在初始确认时，本公司为了消除或显著减少会计错配，可以单项金融资产为基础不可撤销地</w:t>
      </w:r>
    </w:p>
    <w:p>
      <w:pPr>
        <w:framePr w:w="9068" w:x="1798" w:y="809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将金融资产指定为以公允价值计量且其变动计入当期损益的金融资产。</w:t>
      </w:r>
    </w:p>
    <w:p>
      <w:pPr>
        <w:framePr w:w="9068" w:x="1798" w:y="903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混合合同包含一项或多项嵌入衍生工具，且其主合同不属于以上金融资产的，本公司可以将</w:t>
      </w:r>
    </w:p>
    <w:p>
      <w:pPr>
        <w:framePr w:w="9068" w:x="1798" w:y="903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其整体指定为以公允价值计量且其变动计入当期损益的金融工具。但下列情况除外：</w:t>
      </w:r>
    </w:p>
    <w:p>
      <w:pPr>
        <w:framePr w:w="5837" w:x="2218" w:y="99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）嵌入衍生工具不会对混合合同的现金流量产生重大改变。</w:t>
      </w:r>
    </w:p>
    <w:p>
      <w:pPr>
        <w:framePr w:w="9110" w:x="1798" w:y="104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）在初次确定类似的混合合同是否需要分拆时，几乎不需分析就能明确其包含的嵌入衍生工</w:t>
      </w:r>
    </w:p>
    <w:p>
      <w:pPr>
        <w:framePr w:w="9110" w:x="1798" w:y="104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具不应分拆。如嵌入贷款的提前还款权，允许持有人以接近摊余成本的金额提前偿还贷款，该提</w:t>
      </w:r>
    </w:p>
    <w:p>
      <w:pPr>
        <w:framePr w:w="9110" w:x="1798" w:y="104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前还款权不需要分拆。</w:t>
      </w:r>
    </w:p>
    <w:p>
      <w:pPr>
        <w:framePr w:w="9068" w:x="1798" w:y="1184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本公司对此类金融资产采用公允价值进行后续计量，将公允价值变动形成的利得或损失以及</w:t>
      </w:r>
    </w:p>
    <w:p>
      <w:pPr>
        <w:framePr w:w="9068" w:x="1798" w:y="118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与此类金融资产相关的股利和利息收入计入当期损益。</w:t>
      </w:r>
    </w:p>
    <w:p>
      <w:pPr>
        <w:framePr w:w="8477" w:x="2218" w:y="127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本公司对此类金融资产根据其流动性在交易性金融资产、其他非流动金融资产项目列报。</w:t>
      </w:r>
    </w:p>
    <w:p>
      <w:pPr>
        <w:framePr w:w="2458" w:x="2220" w:y="133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．金融负债分类和计量</w:t>
      </w:r>
    </w:p>
    <w:p>
      <w:pPr>
        <w:framePr w:w="9110" w:x="1798" w:y="1384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本公司根据所发行金融工具的合同条款及其所反映的经济实质而非仅以法律形式，结合金融</w:t>
      </w:r>
    </w:p>
    <w:p>
      <w:pPr>
        <w:framePr w:w="9110" w:x="1798" w:y="1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负债和权益工具的定义，在初始确认时将该金融工具或其组成部分分类为金融负债或权益工具。</w:t>
      </w:r>
    </w:p>
    <w:p>
      <w:pPr>
        <w:framePr w:w="9110" w:x="1798" w:y="1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金融负债在初始确认时分类为：以公允价值计量且其变动计入当期损益的金融负债、其他金融负</w:t>
      </w:r>
    </w:p>
    <w:p>
      <w:pPr>
        <w:framePr w:w="9110" w:x="1798" w:y="1384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债、被指定为有效套期工具的衍生工具。</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4" type="#_x0000_t75" style="width:445.6pt;height:2.7pt;margin-top:53.65pt;margin-left:87.45pt;mso-position-horizontal-relative:page;mso-position-vertical-relative:page;position:absolute;z-index:-25156608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1" w:name="br1_90"/>
      <w:bookmarkEnd w:id="9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金融负债在初始确认时以公允价值计量。对于以公允价值计量且其变动计入当期损益的金融</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负债，相关的交易费用直接计入当期损益；对于其他类别的金融负债，相关交易费用计入初始确</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认金额。</w:t>
      </w:r>
    </w:p>
    <w:p>
      <w:pPr>
        <w:framePr w:w="3619" w:x="2218" w:y="28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金融负债的后续计量取决于其分类：</w:t>
      </w:r>
    </w:p>
    <w:p>
      <w:pPr>
        <w:framePr w:w="5414" w:x="2218"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）以公允价值计量且其变动计入当期损益的金融负债</w:t>
      </w:r>
    </w:p>
    <w:p>
      <w:pPr>
        <w:framePr w:w="9069" w:x="1798" w:y="39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此类金融负债包括交易性金融负债（含属于金融负债的衍生工具）和初始确认时指定为以公</w:t>
      </w:r>
    </w:p>
    <w:p>
      <w:pPr>
        <w:framePr w:w="9069" w:x="1798" w:y="393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允价值计量且其变动计入当期损益的金融负债。</w:t>
      </w:r>
    </w:p>
    <w:p>
      <w:pPr>
        <w:framePr w:w="9110" w:x="1798" w:y="48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满足下列条件之一的，属于交易性金融负债：承担相关金融负债的目的主要是为了在近期内</w:t>
      </w:r>
    </w:p>
    <w:p>
      <w:pPr>
        <w:framePr w:w="9110" w:x="1798" w:y="48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出售或回购；属于集中管理的可辨认金融工具组合的一部分，且有客观证据表明企业近期采用短</w:t>
      </w:r>
    </w:p>
    <w:p>
      <w:pPr>
        <w:framePr w:w="9110" w:x="1798" w:y="48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期获利方式模式；属于衍生工具，但是，被指定且为有效套期工具的衍生工具、符合财务担保合</w:t>
      </w:r>
    </w:p>
    <w:p>
      <w:pPr>
        <w:framePr w:w="9110" w:x="1798" w:y="487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同的衍生工具除外。交易性金融负债（含属于金融负债的衍生工具），按照公允价值进行后续计</w:t>
      </w:r>
    </w:p>
    <w:p>
      <w:pPr>
        <w:framePr w:w="9110" w:x="1798" w:y="48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量，除与套期会计有关外，所有公允价值变动均计入当期损益。</w:t>
      </w:r>
    </w:p>
    <w:p>
      <w:pPr>
        <w:framePr w:w="9069" w:x="1798" w:y="70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在初始确认时，为了提供更相关的会计信息，本公司将满足下列条件之一的金融负债不可撤</w:t>
      </w:r>
    </w:p>
    <w:p>
      <w:pPr>
        <w:framePr w:w="9069" w:x="1798" w:y="70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销地指定为以公允价值计量且其变动计入当期损益的金融负债：</w:t>
      </w:r>
    </w:p>
    <w:p>
      <w:pPr>
        <w:framePr w:w="3514" w:x="2218" w:y="7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）能够消除或显著减少会计错配。</w:t>
      </w:r>
    </w:p>
    <w:p>
      <w:pPr>
        <w:framePr w:w="8794" w:x="2218" w:y="8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）根据正式书面文件载明的企业风险管理或投资策略，以公允价值为基础对金融负债组合或</w:t>
      </w:r>
    </w:p>
    <w:p>
      <w:pPr>
        <w:framePr w:w="9110" w:x="1798" w:y="89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金融资产和金融负债组合进行管理和业绩评价，并在企业内部以此为基础向关键管理人员报告。</w:t>
      </w:r>
    </w:p>
    <w:p>
      <w:pPr>
        <w:framePr w:w="9110" w:x="1798" w:y="944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本公司对此类金融负债采用公允价值进行后续计量，除由本公司自身信用风险变动引起的公</w:t>
      </w:r>
    </w:p>
    <w:p>
      <w:pPr>
        <w:framePr w:w="9110" w:x="1798" w:y="94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允价值变动计入其他综合收益之外，其他公允价值变动计入当期损益。除非由本公司自身信用风</w:t>
      </w:r>
    </w:p>
    <w:p>
      <w:pPr>
        <w:framePr w:w="9110" w:x="1798" w:y="94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险变动引起的公允价值变动计入其他综合收益会造成或扩大损益中的会计错配，本公司将所有公</w:t>
      </w:r>
    </w:p>
    <w:p>
      <w:pPr>
        <w:framePr w:w="9110" w:x="1798" w:y="944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允价值变动（包括自身信用风险变动的影响金额）计入当期损益。</w:t>
      </w:r>
    </w:p>
    <w:p>
      <w:pPr>
        <w:framePr w:w="2035" w:x="2218" w:y="111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）其他金融负债</w:t>
      </w:r>
    </w:p>
    <w:p>
      <w:pPr>
        <w:framePr w:w="9068" w:x="1798" w:y="1172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除下列各项外，公司将金融负债分类为以摊余成本计量的金融负债，对此类金融负债采用实</w:t>
      </w:r>
    </w:p>
    <w:p>
      <w:pPr>
        <w:framePr w:w="9068" w:x="1798" w:y="117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际利率法，按照摊余成本进行后续计量，终止确认或摊销产生的利得或损失计入当期损益：</w:t>
      </w:r>
    </w:p>
    <w:p>
      <w:pPr>
        <w:framePr w:w="5414" w:x="2218" w:y="126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）以公允价值计量且其变动计入当期损益的金融负债。</w:t>
      </w:r>
    </w:p>
    <w:p>
      <w:pPr>
        <w:framePr w:w="8160" w:x="2218" w:y="131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）金融资产转移不符合终止确认条件或继续涉入被转移金融资产所形成的金融负债。</w:t>
      </w:r>
    </w:p>
    <w:p>
      <w:pPr>
        <w:framePr w:w="8688" w:x="2218" w:y="137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）不属于本条前两类情形的财务担保合同，以及不属于本条第</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）类情形的以低于市场利率</w:t>
      </w:r>
    </w:p>
    <w:p>
      <w:pPr>
        <w:framePr w:w="1930" w:x="1798" w:y="141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贷款的贷款承诺。</w:t>
      </w:r>
    </w:p>
    <w:p>
      <w:pPr>
        <w:framePr w:w="9110" w:x="1798" w:y="1465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财务担保合同是指当特定债务人到期不能按照最初或修改后的债务工具条款偿付债务时，要</w:t>
      </w:r>
    </w:p>
    <w:p>
      <w:pPr>
        <w:framePr w:w="9110" w:x="1798" w:y="1465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求发行方向蒙受损失的合同持有人赔付特定金额的合同。不属于指定为以公允价值计量且其变动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5" type="#_x0000_t75" style="width:445.6pt;height:2.7pt;margin-top:53.65pt;margin-left:87.45pt;mso-position-horizontal-relative:page;mso-position-vertical-relative:page;position:absolute;z-index:-25156505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2" w:name="br1_91"/>
      <w:bookmarkEnd w:id="9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计入当期损益的金融负债的财务担保合同，在初始确认后按照损失准备金额以及初始确认金额扣</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除担保期内的累计摊销额后的余额孰高进行计量。</w:t>
      </w:r>
    </w:p>
    <w:p>
      <w:pPr>
        <w:framePr w:w="3514" w:x="2220"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．金融资产和金融负债的终止确认</w:t>
      </w:r>
    </w:p>
    <w:p>
      <w:pPr>
        <w:framePr w:w="8794" w:x="2218" w:y="30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）金融资产满足下列条件之一的，终止确认金融资产，即从其账户和资产负债表内予以转</w:t>
      </w:r>
    </w:p>
    <w:p>
      <w:pPr>
        <w:framePr w:w="662" w:x="1798"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销：</w:t>
      </w:r>
    </w:p>
    <w:p>
      <w:pPr>
        <w:framePr w:w="6259" w:x="2218" w:y="39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）收取该金融资产现金流量的合同权利终止。</w:t>
      </w:r>
    </w:p>
    <w:p>
      <w:pPr>
        <w:framePr w:w="6259" w:x="2218" w:y="393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）该金融资产已转移，且该转移满足金融资产终止确认的规定。</w:t>
      </w:r>
    </w:p>
    <w:p>
      <w:pPr>
        <w:framePr w:w="6259" w:x="2218" w:y="393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）金融负债终止确认条件</w:t>
      </w:r>
    </w:p>
    <w:p>
      <w:pPr>
        <w:framePr w:w="9068" w:x="1798" w:y="552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金融负债（或其一部分）的现时义务已经解除的，则终止确认该金融负债（或该部分金融负</w:t>
      </w:r>
    </w:p>
    <w:p>
      <w:pPr>
        <w:framePr w:w="9068" w:x="1798" w:y="55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债）。</w:t>
      </w:r>
    </w:p>
    <w:p>
      <w:pPr>
        <w:framePr w:w="9110" w:x="1798" w:y="646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本公司与借出方之间签订协议，以承担新金融负债方式替换原金融负债，且新金融负债与原</w:t>
      </w:r>
    </w:p>
    <w:p>
      <w:pPr>
        <w:framePr w:w="9110" w:x="1798" w:y="64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金融负债的合同条款实质上不同的，或对原金融负债（或其一部分）的合同条款做出实质性修改</w:t>
      </w:r>
    </w:p>
    <w:p>
      <w:pPr>
        <w:framePr w:w="9110" w:x="1798" w:y="64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的，则终止确认原金融负债，同时确认一项新金融负债，账面价值与支付的对价（包括转出的非</w:t>
      </w:r>
    </w:p>
    <w:p>
      <w:pPr>
        <w:framePr w:w="9110" w:x="1798" w:y="64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现金资产或承担的负债）之间的差额，计入当期损益。</w:t>
      </w:r>
    </w:p>
    <w:p>
      <w:pPr>
        <w:framePr w:w="9110" w:x="1798" w:y="821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本公司回购金融负债一部分的，按照继续确认部分和终止确认部分在回购日各自的公允价值</w:t>
      </w:r>
    </w:p>
    <w:p>
      <w:pPr>
        <w:framePr w:w="9110" w:x="1798" w:y="821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占整体公允价值的比例，对该金融负债整体的账面价值进行分配。分配给终止确认部分的账面价</w:t>
      </w:r>
    </w:p>
    <w:p>
      <w:pPr>
        <w:framePr w:w="9110" w:x="1798" w:y="821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值与支付的对价（包括转出的非现金资产或承担的负债）之间的差额，应当计入当期损益。</w:t>
      </w:r>
    </w:p>
    <w:p>
      <w:pPr>
        <w:framePr w:w="3936" w:x="2220" w:y="95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．金融资产转移的确认依据和计量方法</w:t>
      </w:r>
    </w:p>
    <w:p>
      <w:pPr>
        <w:framePr w:w="9068" w:x="1798" w:y="100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本公司在发生金融资产转移时，评估其保留金融资产所有权上的风险和报酬的程度，并分别</w:t>
      </w:r>
    </w:p>
    <w:p>
      <w:pPr>
        <w:framePr w:w="9068" w:x="1798" w:y="100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下列情形处理：</w:t>
      </w:r>
    </w:p>
    <w:p>
      <w:pPr>
        <w:framePr w:w="8794" w:x="2218" w:y="11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）转移了金融资产所有权上几乎所有风险和报酬的，则终止确认该金融资产，并将转移中</w:t>
      </w:r>
    </w:p>
    <w:p>
      <w:pPr>
        <w:framePr w:w="4886" w:x="1798" w:y="11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产生或保留的权利和义务单独确认为资产或负债。</w:t>
      </w:r>
    </w:p>
    <w:p>
      <w:pPr>
        <w:framePr w:w="7738" w:x="2218" w:y="11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）保留了金融资产所有权上几乎所有风险和报酬的，则继续确认该金融资产。</w:t>
      </w:r>
    </w:p>
    <w:p>
      <w:pPr>
        <w:framePr w:w="9005" w:x="2218" w:y="124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4"/>
          <w:sz w:val="21"/>
          <w:szCs w:val="22"/>
          <w:lang w:val="en-US" w:eastAsia="en-US" w:bidi="ar-SA"/>
        </w:rPr>
        <w:t>）既没有转移也没有保留金融资产所有权上几乎所有风险和报酬的（即除本条（</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50"/>
          <w:sz w:val="21"/>
          <w:szCs w:val="22"/>
          <w:lang w:val="en-US" w:eastAsia="en-US" w:bidi="ar-SA"/>
        </w:rPr>
        <w:t>）、（</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w:t>
      </w:r>
    </w:p>
    <w:p>
      <w:pPr>
        <w:framePr w:w="7843" w:x="1798" w:y="12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之外的其他情形），则根据其是否保留了对金融资产的控制，分别下列情形处理：</w:t>
      </w:r>
    </w:p>
    <w:p>
      <w:pPr>
        <w:framePr w:w="8794" w:x="2218" w:y="134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）未保留对该金融资产控制的，则终止确认该金融资产，并将转移中产生或保留的权利和义</w:t>
      </w:r>
    </w:p>
    <w:p>
      <w:pPr>
        <w:framePr w:w="2774" w:x="1798" w:y="138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务单独确认为资产或负债。</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6" type="#_x0000_t75" style="width:445.6pt;height:2.7pt;margin-top:53.65pt;margin-left:87.45pt;mso-position-horizontal-relative:page;mso-position-vertical-relative:page;position:absolute;z-index:-25156403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3" w:name="br1_92"/>
      <w:bookmarkEnd w:id="9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）保留了对该金融资产控制的，则按照其继续涉入被转移金融资产的程度继续确认有关金融</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资产，并相应确认相关负债。继续涉入被转移金融资产的程度，是指本公司承担的被转移金融资</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产价值变动风险或报酬的程度。</w:t>
      </w:r>
    </w:p>
    <w:p>
      <w:pPr>
        <w:framePr w:w="9069" w:x="1798" w:y="28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在判断金融资产转移是否满足上述金融资产终止确认条件时，采用实质重于形式的原则。公</w:t>
      </w:r>
    </w:p>
    <w:p>
      <w:pPr>
        <w:framePr w:w="9069"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司将金融资产转移区分为金融资产整体转移和部分转移。</w:t>
      </w:r>
    </w:p>
    <w:p>
      <w:pPr>
        <w:framePr w:w="8160" w:x="2218" w:y="3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）金融资产整体转移满足终止确认条件的，将下列两项金额的差额计入当期损益：</w:t>
      </w:r>
    </w:p>
    <w:p>
      <w:pPr>
        <w:framePr w:w="8160" w:x="2218" w:y="381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）被转移金融资产在终止确认日的账面价值。</w:t>
      </w:r>
    </w:p>
    <w:p>
      <w:pPr>
        <w:framePr w:w="9110" w:x="1798" w:y="48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）因转移金融资产而收到的对价，与原直接计入其他综合收益的公允价值变动累计额中对应</w:t>
      </w:r>
    </w:p>
    <w:p>
      <w:pPr>
        <w:framePr w:w="9110" w:x="1798" w:y="48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终止确认部分的金额（涉及转移的金融资产为以公允价值计量且其变动计入其他综合收益的金融</w:t>
      </w:r>
    </w:p>
    <w:p>
      <w:pPr>
        <w:framePr w:w="9110" w:x="1798" w:y="48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资产）之和。</w:t>
      </w:r>
    </w:p>
    <w:p>
      <w:pPr>
        <w:framePr w:w="9110" w:x="1798" w:y="62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）金融资产部分转移且该被转移部分整体满足终止确认条件的，将转移前金融资产整体的</w:t>
      </w:r>
    </w:p>
    <w:p>
      <w:pPr>
        <w:framePr w:w="9110" w:x="1798" w:y="62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账面价值，在终止确认部分和继续确认部分（在此种情形下，所保留的服务资产应当视同继续确</w:t>
      </w:r>
    </w:p>
    <w:p>
      <w:pPr>
        <w:framePr w:w="9110" w:x="1798" w:y="62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认金融资产的一部分）之间，按照转移日各自的相对公允价值进行分摊，并将下列两项金额的差</w:t>
      </w:r>
    </w:p>
    <w:p>
      <w:pPr>
        <w:framePr w:w="9110" w:x="1798" w:y="62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额计入当期损益：</w:t>
      </w:r>
    </w:p>
    <w:p>
      <w:pPr>
        <w:framePr w:w="4358" w:x="2218" w:y="7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）终止确认部分在终止确认日的账面价值。</w:t>
      </w:r>
    </w:p>
    <w:p>
      <w:pPr>
        <w:framePr w:w="8794" w:x="2218" w:y="8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）终止确认部分收到的对价，与原计入其他综合收益的公允价值变动累计额中对应终止确认</w:t>
      </w:r>
    </w:p>
    <w:p>
      <w:pPr>
        <w:framePr w:w="9110" w:x="1798" w:y="89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部分的金额（涉及转移的金融资产为以公允价值计量且其变动计入其他综合收益的金融资产）之</w:t>
      </w:r>
    </w:p>
    <w:p>
      <w:pPr>
        <w:framePr w:w="9110" w:x="1798" w:y="891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和。</w:t>
      </w:r>
    </w:p>
    <w:p>
      <w:pPr>
        <w:framePr w:w="9068" w:x="1798" w:y="985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金融资产转移不满足终止确认条件的，继续确认该金融资产，所收到的对价确认为一项金融</w:t>
      </w:r>
    </w:p>
    <w:p>
      <w:pPr>
        <w:framePr w:w="9068" w:x="1798" w:y="985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负债。</w:t>
      </w:r>
    </w:p>
    <w:p>
      <w:pPr>
        <w:framePr w:w="4358" w:x="2220" w:y="107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．金融资产和金融负债公允价值的确定方法</w:t>
      </w:r>
    </w:p>
    <w:p>
      <w:pPr>
        <w:framePr w:w="9110" w:x="1798" w:y="1131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存在活跃市场的金融资产或金融负债，以活跃市场的报价确定其公允价值，除非该项金融资</w:t>
      </w:r>
    </w:p>
    <w:p>
      <w:pPr>
        <w:framePr w:w="9110" w:x="1798" w:y="113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产存在针对资产本身的限售期。对于针对资产本身的限售的金融资产，按照活跃市场的报价扣除</w:t>
      </w:r>
    </w:p>
    <w:p>
      <w:pPr>
        <w:framePr w:w="9110" w:x="1798" w:y="113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市场参与者因承担指定期间内无法在公开市场上出售该金融资产的风险而要求获得的补偿金额后</w:t>
      </w:r>
    </w:p>
    <w:p>
      <w:pPr>
        <w:framePr w:w="9110" w:x="1798" w:y="11317"/>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确定。活跃市场的报价包括易于且可定期从交易所、交易商、经纪人、行业集团、定价机构或监</w:t>
      </w:r>
    </w:p>
    <w:p>
      <w:pPr>
        <w:framePr w:w="9110" w:x="1798" w:y="113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管机构等获得相关资产或负债的报价，且能代表在公平交易基础上实际并经常发生的市场交易。</w:t>
      </w:r>
    </w:p>
    <w:p>
      <w:pPr>
        <w:framePr w:w="8899" w:x="2218" w:y="134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初始取得或衍生的金融资产或承担的金融负债，以市场交易价格作为确定其公允价值的基础。</w:t>
      </w:r>
    </w:p>
    <w:p>
      <w:pPr>
        <w:framePr w:w="9110" w:x="1798" w:y="1400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不存在活跃市场的金融资产或金融负债，采用估值技术确定其公允价值。在估值时，本公司</w:t>
      </w:r>
    </w:p>
    <w:p>
      <w:pPr>
        <w:framePr w:w="9110" w:x="1798" w:y="1400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采用在当前情况下适用并且有足够可利用数据和其他信息支持的估值技术，选择与市场参与者在</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7" type="#_x0000_t75" style="width:445.6pt;height:2.7pt;margin-top:53.65pt;margin-left:87.45pt;mso-position-horizontal-relative:page;mso-position-vertical-relative:page;position:absolute;z-index:-25156300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4" w:name="br1_93"/>
      <w:bookmarkEnd w:id="9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相关资产或负债的交易中所考虑的资产或负债特征相一致的输入值，并尽可能优先使用相关可观</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察输入值。在相关可观察输入值无法取得或取得不切实可行的情况下，使用不可观察输入值。</w:t>
      </w:r>
    </w:p>
    <w:p>
      <w:pPr>
        <w:framePr w:w="1824" w:x="2220"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．金融工具减值</w:t>
      </w:r>
    </w:p>
    <w:p>
      <w:pPr>
        <w:framePr w:w="9322" w:x="1798" w:y="30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本公司以预期信用损失为基础，对分类为以摊余成本计量的金融资产、分类为以公允价值计</w:t>
      </w:r>
    </w:p>
    <w:p>
      <w:pPr>
        <w:framePr w:w="9322" w:x="1798" w:y="30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量且其变动计入其他综合收益的金融资产以及财务担保合同，进行减值会计处理并确认损失准备。</w:t>
      </w:r>
    </w:p>
    <w:p>
      <w:pPr>
        <w:framePr w:w="9110" w:x="1798" w:y="39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预期信用损失，是指以发生违约的风险为权重的金融工具信用损失的加权平均值。信用损失，</w:t>
      </w:r>
    </w:p>
    <w:p>
      <w:pPr>
        <w:framePr w:w="9110" w:x="1798" w:y="393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是指本公司按照原实际利率折现的、根据合同应收的所有合同现金流量与预期收取的所有现金流</w:t>
      </w:r>
    </w:p>
    <w:p>
      <w:pPr>
        <w:framePr w:w="9110" w:x="1798" w:y="39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量之间的差额，即全部现金短缺的现值。其中，对于本公司购买或源生的已发生信用减值的金融</w:t>
      </w:r>
    </w:p>
    <w:p>
      <w:pPr>
        <w:framePr w:w="9110" w:x="1798" w:y="39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资产，应按照该金融资产经信用调整的实际利率折现。</w:t>
      </w:r>
    </w:p>
    <w:p>
      <w:pPr>
        <w:framePr w:w="9068" w:x="1798" w:y="569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对由收入准则规范的交易形成的应收款项，本公司运用简化计量方法，按照相当于整个存续</w:t>
      </w:r>
    </w:p>
    <w:p>
      <w:pPr>
        <w:framePr w:w="9068" w:x="1798" w:y="569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期内预期信用损失的金额计量损失准备。</w:t>
      </w:r>
    </w:p>
    <w:p>
      <w:pPr>
        <w:framePr w:w="9110" w:x="1798" w:y="663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对于购买或源生的已发生信用减值的金融资产，在资产负债表日仅将自初始确认后整个存续</w:t>
      </w:r>
    </w:p>
    <w:p>
      <w:pPr>
        <w:framePr w:w="9110" w:x="1798" w:y="66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期内预期信用损失的累计变动确认为损失准备。在每个资产负债表日，将整个存续期内预期信用</w:t>
      </w:r>
    </w:p>
    <w:p>
      <w:pPr>
        <w:framePr w:w="9110" w:x="1798" w:y="66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损失的变动金额作为减值损失或利得计入当期损益。即使该资产负债表日确定的整个存续期内预</w:t>
      </w:r>
    </w:p>
    <w:p>
      <w:pPr>
        <w:framePr w:w="9110" w:x="1798" w:y="66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期信用损失小于初始确认时估计现金流量所反映的预期信用损失的金额，也将预期信用损失的有</w:t>
      </w:r>
    </w:p>
    <w:p>
      <w:pPr>
        <w:framePr w:w="9110" w:x="1798" w:y="663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利变动确认为减值利得。</w:t>
      </w:r>
    </w:p>
    <w:p>
      <w:pPr>
        <w:framePr w:w="9110" w:x="1798" w:y="8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除上述采用简化计量方法和购买或源生的已发生信用减值以外的其他金融资产，本公司在每</w:t>
      </w:r>
    </w:p>
    <w:p>
      <w:pPr>
        <w:framePr w:w="9110" w:x="1798" w:y="8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个资产负债表日评估相关金融工具的信用风险自初始确认后是否已显著增加，并按照下列情形分</w:t>
      </w:r>
    </w:p>
    <w:p>
      <w:pPr>
        <w:framePr w:w="9110" w:x="1798" w:y="8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别计量其损失准备、确认预期信用损失及其变动：</w:t>
      </w:r>
    </w:p>
    <w:p>
      <w:pPr>
        <w:framePr w:w="9110" w:x="1798" w:y="101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）如果该金融工具的信用风险自初始确认后并未显著增加，处于第一阶段，则按照相当于</w:t>
      </w:r>
    </w:p>
    <w:p>
      <w:pPr>
        <w:framePr w:w="9110" w:x="1798" w:y="1013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该金融工具未来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pacing w:val="-3"/>
          <w:sz w:val="21"/>
          <w:szCs w:val="22"/>
          <w:lang w:val="en-US" w:eastAsia="en-US" w:bidi="ar-SA"/>
        </w:rPr>
        <w:t>个月内预期信用损失的金额计量其损失准备，并按照账面余额和实际利率计算</w:t>
      </w:r>
    </w:p>
    <w:p>
      <w:pPr>
        <w:framePr w:w="9110" w:x="1798" w:y="101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利息收入。</w:t>
      </w:r>
    </w:p>
    <w:p>
      <w:pPr>
        <w:framePr w:w="9110" w:x="1798" w:y="1148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）如果该金融工具的信用风险自初始确认后已显著增加但尚未发生信用减值的，处于第二</w:t>
      </w:r>
    </w:p>
    <w:p>
      <w:pPr>
        <w:framePr w:w="9110" w:x="1798" w:y="114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阶段，则按照相当于该金融工具整个存续期内预期信用损失的金额计量其损失准备，并按照账面</w:t>
      </w:r>
    </w:p>
    <w:p>
      <w:pPr>
        <w:framePr w:w="9110" w:x="1798" w:y="1148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余额和实际利率计算利息收入。</w:t>
      </w:r>
    </w:p>
    <w:p>
      <w:pPr>
        <w:framePr w:w="9110" w:x="1798" w:y="1283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）如果该金融工具自初始确认后已经发生信用减值的，处于第三阶段，本公司按照相当于</w:t>
      </w:r>
    </w:p>
    <w:p>
      <w:pPr>
        <w:framePr w:w="9110" w:x="1798" w:y="128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该金融工具整个存续期内预期信用损失的金额计量其损失准备，并按照摊余成本和实际利率计算</w:t>
      </w:r>
    </w:p>
    <w:p>
      <w:pPr>
        <w:framePr w:w="9110" w:x="1798" w:y="128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利息收入。</w:t>
      </w:r>
    </w:p>
    <w:p>
      <w:pPr>
        <w:framePr w:w="9322" w:x="1798" w:y="141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金融工具信用损失准备的增加或转回金额，作为减值损失或利得计入当期损益。除分类为以</w:t>
      </w:r>
    </w:p>
    <w:p>
      <w:pPr>
        <w:framePr w:w="9322" w:x="1798" w:y="1417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公允价值计量且其变动计入其他综合收益的金融资产外，信用损失准备抵减金融资产的账面余额。</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8" type="#_x0000_t75" style="width:445.6pt;height:2.7pt;margin-top:53.65pt;margin-left:87.45pt;mso-position-horizontal-relative:page;mso-position-vertical-relative:page;position:absolute;z-index:-25156198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5" w:name="br1_94"/>
      <w:bookmarkEnd w:id="9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对于分类为以公允价值计量且其变动计入其他综合收益的金融资产，本公司在其他综合收益中确</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认其信用损失准备，不减少该金融资产在资产负债表中列示的账面价值。</w:t>
      </w:r>
    </w:p>
    <w:p>
      <w:pPr>
        <w:framePr w:w="9110" w:x="1798" w:y="24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本公司在前一会计期间已经按照相当于金融工具整个存续期内预期信用损失的金额计量了损</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失准备，但在当期资产负债表日，该金融工具已不再属于自初始确认后信用风险显著增加的情形</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的，本公司在当期资产负债表日按照相当于未来</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个月内预期信用损失的金额计量该金融工具的</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损失准备，由此形成的损失准备的转回金额作为减值利得计入当期损益。</w:t>
      </w:r>
    </w:p>
    <w:p>
      <w:pPr>
        <w:framePr w:w="2458" w:x="2218" w:y="4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）信用风险显著增加</w:t>
      </w:r>
    </w:p>
    <w:p>
      <w:pPr>
        <w:framePr w:w="9110" w:x="1798" w:y="475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本公司利用可获得的合理且有依据的前瞻性信息，通过比较金融工具在资产负债表日发生违</w:t>
      </w:r>
    </w:p>
    <w:p>
      <w:pPr>
        <w:framePr w:w="9110" w:x="1798" w:y="47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约的风险与在初始确认日发生违约的风险，以确定金融工具的信用风险自初始确认后是否已显著</w:t>
      </w:r>
    </w:p>
    <w:p>
      <w:pPr>
        <w:framePr w:w="9110" w:x="1798" w:y="47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增加。对于财务担保合同，本公司在应用金融工具减值规定时，将本公司成为做出不可撤销承诺</w:t>
      </w:r>
    </w:p>
    <w:p>
      <w:pPr>
        <w:framePr w:w="9110" w:x="1798" w:y="475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的一方之日作为初始确认日。</w:t>
      </w:r>
    </w:p>
    <w:p>
      <w:pPr>
        <w:framePr w:w="5520" w:x="2218" w:y="65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本公司在评估信用风险是否显著增加时会考虑如下因素：</w:t>
      </w:r>
    </w:p>
    <w:p>
      <w:pPr>
        <w:framePr w:w="5520" w:x="2218" w:y="651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）债务人经营成果实际或预期是否发生显著变化；</w:t>
      </w:r>
    </w:p>
    <w:p>
      <w:pPr>
        <w:framePr w:w="6259" w:x="2218" w:y="7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）债务人所处的监管、经济或技术环境是否发生显著不利变化；</w:t>
      </w:r>
    </w:p>
    <w:p>
      <w:pPr>
        <w:framePr w:w="8794" w:x="2218" w:y="80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）作为债务抵押的担保物价值或第三方提供的担保或信用增级质量是否发生显著变化，这些</w:t>
      </w:r>
    </w:p>
    <w:p>
      <w:pPr>
        <w:framePr w:w="7210" w:x="1798" w:y="8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变化预期将降低债务人按合同规定期限还款的经济动机或者影响违约概率；</w:t>
      </w:r>
    </w:p>
    <w:p>
      <w:pPr>
        <w:framePr w:w="5203" w:x="2218" w:y="90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）债务人预期表现和还款行为是否发生显著变化；</w:t>
      </w:r>
    </w:p>
    <w:p>
      <w:pPr>
        <w:framePr w:w="5203" w:x="2218" w:y="903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）本公司对金融工具信用管理方法是否发生变化等。</w:t>
      </w:r>
    </w:p>
    <w:p>
      <w:pPr>
        <w:framePr w:w="9110" w:x="1798" w:y="100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于资产负债表日，若本公司判断金融工具只具有较低的信用风险，则本公司假定该金融工具</w:t>
      </w:r>
    </w:p>
    <w:p>
      <w:pPr>
        <w:framePr w:w="9110" w:x="1798" w:y="100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的信用风险自初始确认后并未显著增加。如果金融工具的违约风险较低，借款人在短期内履行其</w:t>
      </w:r>
    </w:p>
    <w:p>
      <w:pPr>
        <w:framePr w:w="9110" w:x="1798" w:y="1009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合同现金流量义务的能力很强，并且即使较长时期内经济形势和经营环境存在不利变化，但未必</w:t>
      </w:r>
    </w:p>
    <w:p>
      <w:pPr>
        <w:framePr w:w="9110" w:x="1798" w:y="100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一定降低借款人履行其合同现金流量义务的能力，则该金融工具被视为具有较低的信用风险。</w:t>
      </w:r>
    </w:p>
    <w:p>
      <w:pPr>
        <w:framePr w:w="3302" w:x="2218" w:y="118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）已发生信用减值的金融资产</w:t>
      </w:r>
    </w:p>
    <w:p>
      <w:pPr>
        <w:framePr w:w="9068" w:x="1798" w:y="1237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当对金融资产预期未来现金流量具有不利影响的一项或多项事件发生时，该金融资产成为已</w:t>
      </w:r>
    </w:p>
    <w:p>
      <w:pPr>
        <w:framePr w:w="9068" w:x="1798" w:y="1237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发生信用减值的金融资产。金融资产已发生信用减值的证据包括下列可观察信息：</w:t>
      </w:r>
    </w:p>
    <w:p>
      <w:pPr>
        <w:framePr w:w="3936" w:x="2218" w:y="133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）发行方或债务人发生重大财务困难；</w:t>
      </w:r>
    </w:p>
    <w:p>
      <w:pPr>
        <w:framePr w:w="5414" w:x="2218" w:y="138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）债务人违反合同，如偿付利息或本金违约或逾期等；</w:t>
      </w:r>
    </w:p>
    <w:p>
      <w:pPr>
        <w:framePr w:w="8794" w:x="2218" w:y="14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）债权人出于与债务人财务困难有关的经济或合同考虑，给予债务人在任何其他情况下都不</w:t>
      </w:r>
    </w:p>
    <w:p>
      <w:pPr>
        <w:framePr w:w="1718" w:x="1798" w:y="147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会做出的让步；</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9" type="#_x0000_t75" style="width:445.6pt;height:2.7pt;margin-top:53.65pt;margin-left:87.45pt;mso-position-horizontal-relative:page;mso-position-vertical-relative:page;position:absolute;z-index:-25156096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6" w:name="br1_95"/>
      <w:bookmarkEnd w:id="9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4358"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）债务人很可能破产或进行其他财务重组；</w:t>
      </w:r>
    </w:p>
    <w:p>
      <w:pPr>
        <w:framePr w:w="8899" w:x="221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）发行方或债务人财务困难导致该金融资产的活跃市场消失；</w:t>
      </w:r>
    </w:p>
    <w:p>
      <w:pPr>
        <w:framePr w:w="8899" w:x="221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）以大幅折扣购买或源生一项金融资产，该折扣反映了发生信用损失的事实。</w:t>
      </w:r>
    </w:p>
    <w:p>
      <w:pPr>
        <w:framePr w:w="8899" w:x="221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金融资产发生信用减值，有可能是多个事件的共同作用所致，未必是可单独识别的事件所致。</w:t>
      </w:r>
    </w:p>
    <w:p>
      <w:pPr>
        <w:framePr w:w="8899" w:x="221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）预期信用损失的确定</w:t>
      </w:r>
    </w:p>
    <w:p>
      <w:pPr>
        <w:framePr w:w="9068" w:x="1798" w:y="41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本公司基于单项和组合评估金融工具的预期信用损失，在评估预期信用损失时，考虑有关过</w:t>
      </w:r>
    </w:p>
    <w:p>
      <w:pPr>
        <w:framePr w:w="9068" w:x="1798" w:y="41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去事项、当前状况以及未来经济状况预测的合理且有依据的信息。</w:t>
      </w:r>
    </w:p>
    <w:p>
      <w:pPr>
        <w:framePr w:w="9110" w:x="1798" w:y="511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本公司以共同信用风险特征为依据，将金融工具分为不同组合。本公司采用的共同信用风险</w:t>
      </w:r>
    </w:p>
    <w:p>
      <w:pPr>
        <w:framePr w:w="9110" w:x="1798" w:y="51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特征包括：金融工具类型、信用风险评级、账龄组合、逾期账龄组合、合同结算周期、债务人所</w:t>
      </w:r>
    </w:p>
    <w:p>
      <w:pPr>
        <w:framePr w:w="9110" w:x="1798" w:y="51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处行业等。相关金融工具的单项评估标准和组合信用风险特征详见相关金融工具的会计政策。</w:t>
      </w:r>
    </w:p>
    <w:p>
      <w:pPr>
        <w:framePr w:w="5520" w:x="2218" w:y="64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本公司按照下列方法确定相关金融工具的预期信用损失：</w:t>
      </w:r>
    </w:p>
    <w:p>
      <w:pPr>
        <w:framePr w:w="8794" w:x="2218" w:y="69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）对于金融资产，信用损失为本公司应收取的合同现金流量与预期收取的现金流量之间差额</w:t>
      </w:r>
    </w:p>
    <w:p>
      <w:pPr>
        <w:framePr w:w="1085" w:x="1798" w:y="73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的现值。</w:t>
      </w:r>
    </w:p>
    <w:p>
      <w:pPr>
        <w:framePr w:w="8794" w:x="2218" w:y="79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）对于财务担保合同，信用损失为本公司就该合同持有人发生的信用损失向其做出赔付的预</w:t>
      </w:r>
    </w:p>
    <w:p>
      <w:pPr>
        <w:framePr w:w="9110" w:x="1798" w:y="83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计付款额，减去本公司预期向该合同持有人、债务人或任何其他方收取的金额之间差额的现值。</w:t>
      </w:r>
    </w:p>
    <w:p>
      <w:pPr>
        <w:framePr w:w="8794" w:x="2218" w:y="88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）对于资产负债表日已发生信用减值但并非购买或源生已发生信用减值的金融资产，信用损</w:t>
      </w:r>
    </w:p>
    <w:p>
      <w:pPr>
        <w:framePr w:w="8266" w:x="1798" w:y="92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失为该金融资产账面余额与按原实际利率折现的估计未来现金流量的现值之间的差额。</w:t>
      </w:r>
    </w:p>
    <w:p>
      <w:pPr>
        <w:framePr w:w="9110" w:x="1798" w:y="98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本公司计量金融工具预期信用损失的方法反映的因素包括：通过评价一系列可能的结果而确</w:t>
      </w:r>
    </w:p>
    <w:p>
      <w:pPr>
        <w:framePr w:w="9110" w:x="1798" w:y="98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定的无偏概率加权平均金额；货币时间价值；在资产负债表日无须付出不必要的额外成本或努力</w:t>
      </w:r>
    </w:p>
    <w:p>
      <w:pPr>
        <w:framePr w:w="9110" w:x="1798" w:y="98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即可获得的有关过去事项、当前状况以及未来经济状况预测的合理且有依据的信息。</w:t>
      </w:r>
    </w:p>
    <w:p>
      <w:pPr>
        <w:framePr w:w="2035" w:x="2218" w:y="11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）减记金融资产</w:t>
      </w:r>
    </w:p>
    <w:p>
      <w:pPr>
        <w:framePr w:w="9068" w:x="1798" w:y="116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当本公司不再合理预期金融资产合同现金流量能够全部或部分收回的，直接减记该金融资产</w:t>
      </w:r>
    </w:p>
    <w:p>
      <w:pPr>
        <w:framePr w:w="9068" w:x="1798" w:y="116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的账面余额。这种减记构成相关金融资产的终止确认。</w:t>
      </w:r>
    </w:p>
    <w:p>
      <w:pPr>
        <w:framePr w:w="3091" w:x="2220" w:y="126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1"/>
          <w:sz w:val="21"/>
          <w:szCs w:val="22"/>
          <w:lang w:val="en-US" w:eastAsia="en-US" w:bidi="ar-SA"/>
        </w:rPr>
        <w:t>．金融资产及金融负债的抵销</w:t>
      </w:r>
    </w:p>
    <w:p>
      <w:pPr>
        <w:framePr w:w="9078" w:x="1798" w:y="1314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金融资产和金融负债在资产负债表内分别列示，没有相互抵销。但是，同时满足下列条件的，</w:t>
      </w:r>
    </w:p>
    <w:p>
      <w:pPr>
        <w:framePr w:w="9078" w:x="1798" w:y="1314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以相互抵销后的净额在资产负债表内列示：</w:t>
      </w:r>
    </w:p>
    <w:p>
      <w:pPr>
        <w:framePr w:w="7738" w:x="2218" w:y="140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）本公司具有抵销已确认金额的法定权利，且该种法定权利是当前可执行的；</w:t>
      </w:r>
    </w:p>
    <w:p>
      <w:pPr>
        <w:framePr w:w="7738" w:x="2218" w:y="1408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）本公司计划以净额结算，或同时变现该金融资产和清偿该金融负债。</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0" type="#_x0000_t75" style="width:445.6pt;height:2.7pt;margin-top:53.65pt;margin-left:87.45pt;mso-position-horizontal-relative:page;mso-position-vertical-relative:page;position:absolute;z-index:-25155993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7" w:name="br1_96"/>
      <w:bookmarkEnd w:id="9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应收票据</w:t>
      </w:r>
    </w:p>
    <w:p>
      <w:pPr>
        <w:framePr w:w="5098"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应收票据的预期信用损失的确定方法及会计处理方法</w:t>
      </w:r>
    </w:p>
    <w:p>
      <w:pPr>
        <w:framePr w:w="1817"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29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本公司对应收票据的预期信用损失的确定方法及会计处理方法详见财务报告五、重要会计政</w:t>
      </w:r>
    </w:p>
    <w:p>
      <w:pPr>
        <w:framePr w:w="3024" w:x="1798" w:y="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策及会计估计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、金融工具。</w:t>
      </w:r>
    </w:p>
    <w:p>
      <w:pPr>
        <w:framePr w:w="8688" w:x="2218" w:y="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当在单项工具层面无法以合理成本评估预期信用损失的充分证据时，本公司参考历史信用损</w:t>
      </w:r>
    </w:p>
    <w:p>
      <w:pPr>
        <w:framePr w:w="6998" w:x="1798" w:y="43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失经验，结合当前状况以及对未来经济状况的判断，依据信用风险特征将</w:t>
      </w:r>
    </w:p>
    <w:p>
      <w:pPr>
        <w:framePr w:w="6998" w:x="1798" w:y="43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干组合，在组合基础上计算预期信用损失。确定组合的依据如下：</w:t>
      </w:r>
    </w:p>
    <w:p>
      <w:pPr>
        <w:framePr w:w="1930" w:x="8940" w:y="43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应收票据划分为若</w:t>
      </w:r>
    </w:p>
    <w:p>
      <w:pPr>
        <w:framePr w:w="1296" w:x="1798" w:y="5299"/>
        <w:widowControl w:val="0"/>
        <w:autoSpaceDE w:val="0"/>
        <w:autoSpaceDN w:val="0"/>
        <w:spacing w:line="211" w:lineRule="exact"/>
        <w:ind w:left="12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组合名称</w:t>
      </w:r>
    </w:p>
    <w:p>
      <w:pPr>
        <w:framePr w:w="1296" w:x="1798" w:y="5299"/>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无风险银行</w:t>
      </w:r>
    </w:p>
    <w:p>
      <w:pPr>
        <w:framePr w:w="1296" w:x="1798" w:y="529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承兑票据组</w:t>
      </w:r>
    </w:p>
    <w:p>
      <w:pPr>
        <w:framePr w:w="1296" w:x="1798" w:y="529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w:t>
      </w:r>
    </w:p>
    <w:p>
      <w:pPr>
        <w:framePr w:w="1718" w:x="4446" w:y="52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确定组合的依据</w:t>
      </w:r>
    </w:p>
    <w:p>
      <w:pPr>
        <w:framePr w:w="1085" w:x="8625" w:y="52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计提方法</w:t>
      </w:r>
    </w:p>
    <w:p>
      <w:pPr>
        <w:framePr w:w="7681" w:x="3180" w:y="57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出票人具有较高的信用评级，历史上未发生</w:t>
      </w:r>
      <w:r>
        <w:rPr>
          <w:rFonts w:eastAsiaTheme="minorEastAsia" w:hAnsiTheme="minorHAnsi" w:cstheme="minorBidi"/>
          <w:color w:val="000000"/>
          <w:spacing w:val="242"/>
          <w:sz w:val="21"/>
          <w:szCs w:val="22"/>
          <w:lang w:val="en-US" w:eastAsia="en-US" w:bidi="ar-SA"/>
        </w:rPr>
        <w:t xml:space="preserve"> </w:t>
      </w:r>
      <w:r>
        <w:rPr>
          <w:rFonts w:ascii="SimSun" w:hAnsi="SimSun" w:eastAsiaTheme="minorEastAsia" w:cs="SimSun"/>
          <w:color w:val="000000"/>
          <w:sz w:val="21"/>
          <w:szCs w:val="22"/>
          <w:lang w:val="en-US" w:eastAsia="en-US" w:bidi="ar-SA"/>
        </w:rPr>
        <w:t>参考历史信用损失经验，结合当前</w:t>
      </w:r>
    </w:p>
    <w:p>
      <w:pPr>
        <w:framePr w:w="7681" w:x="3180" w:y="57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票据违约，信用损失风险极低，在短期内履</w:t>
      </w:r>
      <w:r>
        <w:rPr>
          <w:rFonts w:eastAsiaTheme="minorEastAsia" w:hAnsiTheme="minorHAnsi" w:cstheme="minorBidi"/>
          <w:color w:val="000000"/>
          <w:spacing w:val="242"/>
          <w:sz w:val="21"/>
          <w:szCs w:val="22"/>
          <w:lang w:val="en-US" w:eastAsia="en-US" w:bidi="ar-SA"/>
        </w:rPr>
        <w:t xml:space="preserve"> </w:t>
      </w:r>
      <w:r>
        <w:rPr>
          <w:rFonts w:ascii="SimSun" w:hAnsi="SimSun" w:eastAsiaTheme="minorEastAsia" w:cs="SimSun"/>
          <w:color w:val="000000"/>
          <w:sz w:val="21"/>
          <w:szCs w:val="22"/>
          <w:lang w:val="en-US" w:eastAsia="en-US" w:bidi="ar-SA"/>
        </w:rPr>
        <w:t>状况以及对未来经济状况的预期计</w:t>
      </w:r>
    </w:p>
    <w:p>
      <w:pPr>
        <w:framePr w:w="3830" w:x="3180" w:y="6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行其支付合同现金流量义务的能力很强</w:t>
      </w:r>
    </w:p>
    <w:p>
      <w:pPr>
        <w:framePr w:w="1296" w:x="7468" w:y="6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量坏账准备</w:t>
      </w:r>
    </w:p>
    <w:p>
      <w:pPr>
        <w:framePr w:w="7681" w:x="3180" w:y="69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出票人具有较高的信用评级，历史上未发生</w:t>
      </w:r>
      <w:r>
        <w:rPr>
          <w:rFonts w:eastAsiaTheme="minorEastAsia" w:hAnsiTheme="minorHAnsi" w:cstheme="minorBidi"/>
          <w:color w:val="000000"/>
          <w:spacing w:val="242"/>
          <w:sz w:val="21"/>
          <w:szCs w:val="22"/>
          <w:lang w:val="en-US" w:eastAsia="en-US" w:bidi="ar-SA"/>
        </w:rPr>
        <w:t xml:space="preserve"> </w:t>
      </w:r>
      <w:r>
        <w:rPr>
          <w:rFonts w:ascii="SimSun" w:hAnsi="SimSun" w:eastAsiaTheme="minorEastAsia" w:cs="SimSun"/>
          <w:color w:val="000000"/>
          <w:sz w:val="21"/>
          <w:szCs w:val="22"/>
          <w:lang w:val="en-US" w:eastAsia="en-US" w:bidi="ar-SA"/>
        </w:rPr>
        <w:t>参考历史信用损失经验，结合当前</w:t>
      </w:r>
    </w:p>
    <w:p>
      <w:pPr>
        <w:framePr w:w="7681" w:x="3180" w:y="695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票据违约，信用损失风险极低，在短期内履</w:t>
      </w:r>
      <w:r>
        <w:rPr>
          <w:rFonts w:eastAsiaTheme="minorEastAsia" w:hAnsiTheme="minorHAnsi" w:cstheme="minorBidi"/>
          <w:color w:val="000000"/>
          <w:spacing w:val="242"/>
          <w:sz w:val="21"/>
          <w:szCs w:val="22"/>
          <w:lang w:val="en-US" w:eastAsia="en-US" w:bidi="ar-SA"/>
        </w:rPr>
        <w:t xml:space="preserve"> </w:t>
      </w:r>
      <w:r>
        <w:rPr>
          <w:rFonts w:ascii="SimSun" w:hAnsi="SimSun" w:eastAsiaTheme="minorEastAsia" w:cs="SimSun"/>
          <w:color w:val="000000"/>
          <w:sz w:val="21"/>
          <w:szCs w:val="22"/>
          <w:lang w:val="en-US" w:eastAsia="en-US" w:bidi="ar-SA"/>
        </w:rPr>
        <w:t>状况以及对未来经济状况的预期计</w:t>
      </w:r>
    </w:p>
    <w:p>
      <w:pPr>
        <w:framePr w:w="1296" w:x="1798" w:y="71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商业承兑汇</w:t>
      </w:r>
    </w:p>
    <w:p>
      <w:pPr>
        <w:framePr w:w="1296" w:x="1798" w:y="71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票</w:t>
      </w:r>
    </w:p>
    <w:p>
      <w:pPr>
        <w:framePr w:w="3830" w:x="3180" w:y="77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行其支付合同现金流量义务的能力很强</w:t>
      </w:r>
    </w:p>
    <w:p>
      <w:pPr>
        <w:framePr w:w="1296" w:x="7468" w:y="77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量坏账准备</w:t>
      </w:r>
    </w:p>
    <w:p>
      <w:pPr>
        <w:framePr w:w="1510" w:x="1798" w:y="86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应收账款</w:t>
      </w:r>
    </w:p>
    <w:p>
      <w:pPr>
        <w:framePr w:w="5098" w:x="1798" w:y="91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应收账款的预期信用损失的确定方法及会计处理方法</w:t>
      </w:r>
    </w:p>
    <w:p>
      <w:pPr>
        <w:framePr w:w="5098" w:x="1798" w:y="913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101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本公司对应收账款的预期信用损失的确定方法及会计处理方法详见财务报告五、重要会计政</w:t>
      </w:r>
    </w:p>
    <w:p>
      <w:pPr>
        <w:framePr w:w="3025" w:x="1798" w:y="105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策及会计估计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、金融工具。</w:t>
      </w:r>
    </w:p>
    <w:p>
      <w:pPr>
        <w:framePr w:w="9068" w:x="1798" w:y="1112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本公司对在单项工具层面能以合理成本评估预期信用损失的充分证据的应收账款单独确定其</w:t>
      </w:r>
    </w:p>
    <w:p>
      <w:pPr>
        <w:framePr w:w="9068" w:x="1798" w:y="111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信用损失。</w:t>
      </w:r>
    </w:p>
    <w:p>
      <w:pPr>
        <w:framePr w:w="9110" w:x="1798" w:y="1194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当在单项工具层面无法以合理成本评估预期信用损失的充分证据时，本公司参考历史信用损</w:t>
      </w:r>
    </w:p>
    <w:p>
      <w:pPr>
        <w:framePr w:w="9110" w:x="1798" w:y="1194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失经验，结合当前状况以及对未来经济状况的判断，依据信用风险特征将应收账款划分为若干组</w:t>
      </w:r>
    </w:p>
    <w:p>
      <w:pPr>
        <w:framePr w:w="9110" w:x="1798" w:y="1194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合，在组合基础上计算预期信用损失。确定组合的依据如下：</w:t>
      </w:r>
    </w:p>
    <w:p>
      <w:pPr>
        <w:framePr w:w="4284" w:x="1798" w:y="13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组合名称</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确定组合的依据</w:t>
      </w:r>
    </w:p>
    <w:p>
      <w:pPr>
        <w:framePr w:w="4284" w:x="1798" w:y="13230"/>
        <w:widowControl w:val="0"/>
        <w:autoSpaceDE w:val="0"/>
        <w:autoSpaceDN w:val="0"/>
        <w:spacing w:before="106" w:line="211" w:lineRule="exact"/>
        <w:ind w:left="109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以应收账款账龄作为信用风险特</w:t>
      </w:r>
    </w:p>
    <w:p>
      <w:pPr>
        <w:framePr w:w="1085" w:x="6159" w:y="13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计提方法</w:t>
      </w:r>
    </w:p>
    <w:p>
      <w:pPr>
        <w:framePr w:w="1085" w:x="1798" w:y="13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账龄组合</w:t>
      </w:r>
    </w:p>
    <w:p>
      <w:pPr>
        <w:framePr w:w="4675" w:x="6159" w:y="13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按账龄与整个存续期预期信用损失率对照表计提</w:t>
      </w:r>
    </w:p>
    <w:p>
      <w:pPr>
        <w:framePr w:w="451" w:x="2897" w:y="138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征</w:t>
      </w:r>
    </w:p>
    <w:p>
      <w:pPr>
        <w:framePr w:w="4675" w:x="6159" w:y="141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参考历史信用损失经验，结合当前状况以及对未</w:t>
      </w:r>
    </w:p>
    <w:p>
      <w:pPr>
        <w:framePr w:w="4675" w:x="6159" w:y="1410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来经济状况的预期计量坏账准备</w:t>
      </w:r>
    </w:p>
    <w:p>
      <w:pPr>
        <w:framePr w:w="3862" w:x="1798" w:y="142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性质组合</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合并范围内关联方往来款等</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1" type="#_x0000_t75" style="width:445.6pt;height:2.7pt;margin-top:53.65pt;margin-left:87.45pt;mso-position-horizontal-relative:page;mso-position-vertical-relative:page;position:absolute;z-index:-251284480">
            <v:imagedata r:id="rId177" o:title=""/>
          </v:shape>
        </w:pict>
      </w:r>
      <w:r>
        <w:rPr>
          <w:noProof/>
        </w:rPr>
        <w:pict>
          <v:shape id="_x0000_s1242" type="#_x0000_t75" style="width:454.7pt;height:149.05pt;margin-top:260.9pt;margin-left:82.8pt;mso-position-horizontal-relative:page;mso-position-vertical-relative:page;position:absolute;z-index:-251396096">
            <v:imagedata r:id="rId178" o:title=""/>
          </v:shape>
        </w:pict>
      </w:r>
      <w:r>
        <w:rPr>
          <w:noProof/>
        </w:rPr>
        <w:pict>
          <v:shape id="_x0000_s1243" type="#_x0000_t75" style="width:455.2pt;height:77.5pt;margin-top:655.9pt;margin-left:82.8pt;mso-position-horizontal-relative:page;mso-position-vertical-relative:page;position:absolute;z-index:-251558912">
            <v:imagedata r:id="rId179" o:title=""/>
          </v:shape>
        </w:pict>
      </w:r>
    </w:p>
    <w:p>
      <w:pPr>
        <w:spacing w:line="0" w:lineRule="atLeast"/>
        <w:rPr>
          <w:rFonts w:ascii="Arial" w:eastAsiaTheme="minorEastAsia" w:hAnsiTheme="minorHAnsi" w:cstheme="minorBidi"/>
          <w:color w:val="FF0000"/>
          <w:sz w:val="2"/>
          <w:szCs w:val="22"/>
          <w:lang w:val="en-US" w:eastAsia="en-US" w:bidi="ar-SA"/>
        </w:rPr>
      </w:pPr>
      <w:bookmarkStart w:id="98" w:name="br1_97"/>
      <w:bookmarkEnd w:id="9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932"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应收款项融资</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2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本公司对应收款项融资的预期信用损失的确定方法及会计处理方法详见财务报告五、重要会</w:t>
      </w:r>
    </w:p>
    <w:p>
      <w:pPr>
        <w:framePr w:w="3444" w:x="1798" w:y="28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计政策及会计估计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、金融工具。</w:t>
      </w:r>
    </w:p>
    <w:p>
      <w:pPr>
        <w:framePr w:w="1721" w:x="1798" w:y="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其他应收款</w:t>
      </w:r>
    </w:p>
    <w:p>
      <w:pPr>
        <w:framePr w:w="5098" w:x="1798" w:y="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其他应收款预期信用损失的确定方法及会计处理方法</w:t>
      </w:r>
    </w:p>
    <w:p>
      <w:pPr>
        <w:framePr w:w="5098" w:x="1798" w:y="392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49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本公司对其他应收款的预期信用损失的确定方法及会计处理方法详见财务报告五、重要会计</w:t>
      </w:r>
    </w:p>
    <w:p>
      <w:pPr>
        <w:framePr w:w="3236" w:x="1798" w:y="53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政策及会计估计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、金融工具。</w:t>
      </w:r>
    </w:p>
    <w:p>
      <w:pPr>
        <w:framePr w:w="9110" w:x="1798" w:y="591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当在单项工具层面无法以合理成本评估预期信用损失的充分证据时，本公司参考历史信用损</w:t>
      </w:r>
    </w:p>
    <w:p>
      <w:pPr>
        <w:framePr w:w="9110" w:x="1798" w:y="59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失经验，结合当前状况以及对未来经济状况的判断，依据信用风险特征将其他应收款划分为若干</w:t>
      </w:r>
    </w:p>
    <w:p>
      <w:pPr>
        <w:framePr w:w="9110" w:x="1798" w:y="59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组合，在组合基础上计算预期信用损失。确定组合的依据如下：</w:t>
      </w:r>
    </w:p>
    <w:p>
      <w:pPr>
        <w:framePr w:w="2813" w:x="1798" w:y="71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组合名称</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确定组合的依据</w:t>
      </w:r>
    </w:p>
    <w:p>
      <w:pPr>
        <w:framePr w:w="1085" w:x="6534" w:y="71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计提方法</w:t>
      </w:r>
    </w:p>
    <w:p>
      <w:pPr>
        <w:framePr w:w="4253" w:x="6534" w:y="7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按账龄与整个存续期预期信用损失率对照表</w:t>
      </w:r>
    </w:p>
    <w:p>
      <w:pPr>
        <w:framePr w:w="4253" w:x="6534" w:y="75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4704" w:x="1798" w:y="77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账龄组合</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以其他应收款账龄作为信用风险特征</w:t>
      </w:r>
    </w:p>
    <w:p>
      <w:pPr>
        <w:framePr w:w="4464" w:x="6534" w:y="84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参考历史信用损失经验，结合当前状况以及对</w:t>
      </w:r>
    </w:p>
    <w:p>
      <w:pPr>
        <w:framePr w:w="4464" w:x="6534" w:y="84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未来经济状况的预期计量坏账准备</w:t>
      </w:r>
    </w:p>
    <w:p>
      <w:pPr>
        <w:framePr w:w="3862" w:x="1798" w:y="86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性质组合</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合并范围内关联方往来款等</w:t>
      </w:r>
    </w:p>
    <w:p>
      <w:pPr>
        <w:framePr w:w="1087" w:x="1798" w:y="9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存货</w:t>
      </w:r>
    </w:p>
    <w:p>
      <w:pPr>
        <w:framePr w:w="1922" w:x="1798" w:y="99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613" w:x="2218" w:y="103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．存货的分类</w:t>
      </w:r>
    </w:p>
    <w:p>
      <w:pPr>
        <w:framePr w:w="9110" w:x="1798" w:y="108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存货是指本公司在日常活动中持有以备出售的产成品或商品、处在生产过程中的在产品、在</w:t>
      </w:r>
    </w:p>
    <w:p>
      <w:pPr>
        <w:framePr w:w="9110" w:x="1798" w:y="1085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生产过程或提供劳务过程中耗用的材料和物料等。主要包括原材料、周转材料、委托加工材料、</w:t>
      </w:r>
    </w:p>
    <w:p>
      <w:pPr>
        <w:framePr w:w="9110" w:x="1798" w:y="108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在产品、自制半成品、产成品（库存商品）、发出商品等。</w:t>
      </w:r>
    </w:p>
    <w:p>
      <w:pPr>
        <w:framePr w:w="2035" w:x="2220" w:y="121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．存货的计价方法</w:t>
      </w:r>
    </w:p>
    <w:p>
      <w:pPr>
        <w:framePr w:w="9068" w:x="1798" w:y="1272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存货在取得时，按成本进行初始计量，包括采购成本、加工成本和其他成本。存货发出时按</w:t>
      </w:r>
    </w:p>
    <w:p>
      <w:pPr>
        <w:framePr w:w="9068" w:x="1798" w:y="1272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加权平均法计价。</w:t>
      </w:r>
    </w:p>
    <w:p>
      <w:pPr>
        <w:framePr w:w="5626" w:x="2220" w:y="136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．存货可变现净值的确定依据及存货跌价准备的计提方法</w:t>
      </w:r>
    </w:p>
    <w:p>
      <w:pPr>
        <w:framePr w:w="9110" w:x="1798" w:y="1419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期末对存货进行全面清查后，按存货的成本与可变现净值孰低提取或调整存货跌价准备。产</w:t>
      </w:r>
    </w:p>
    <w:p>
      <w:pPr>
        <w:framePr w:w="9110" w:x="1798" w:y="141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成品、库存商品和用于出售的材料等直接用于出售的商品存货，在正常生产经营过程中，以该存</w:t>
      </w:r>
    </w:p>
    <w:p>
      <w:pPr>
        <w:framePr w:w="9110" w:x="1798" w:y="141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货的估计售价减去估计的销售费用和相关税费后的金额，确定其可变现净值；需要经过加工的材</w:t>
      </w:r>
    </w:p>
    <w:p>
      <w:pPr>
        <w:framePr w:w="847" w:x="5910"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4" type="#_x0000_t75" style="width:445.6pt;height:2.7pt;margin-top:53.65pt;margin-left:87.45pt;mso-position-horizontal-relative:page;mso-position-vertical-relative:page;position:absolute;z-index:-251395072">
            <v:imagedata r:id="rId180" o:title=""/>
          </v:shape>
        </w:pict>
      </w:r>
      <w:r>
        <w:rPr>
          <w:noProof/>
        </w:rPr>
        <w:pict>
          <v:shape id="_x0000_s1245" type="#_x0000_t75" style="width:455.2pt;height:108.2pt;margin-top:354.65pt;margin-left:82.8pt;mso-position-horizontal-relative:page;mso-position-vertical-relative:page;position:absolute;z-index:-251557888">
            <v:imagedata r:id="rId181" o:title=""/>
          </v:shape>
        </w:pict>
      </w:r>
    </w:p>
    <w:p>
      <w:pPr>
        <w:spacing w:line="0" w:lineRule="atLeast"/>
        <w:rPr>
          <w:rFonts w:ascii="Arial" w:eastAsiaTheme="minorEastAsia" w:hAnsiTheme="minorHAnsi" w:cstheme="minorBidi"/>
          <w:color w:val="FF0000"/>
          <w:sz w:val="2"/>
          <w:szCs w:val="22"/>
          <w:lang w:val="en-US" w:eastAsia="en-US" w:bidi="ar-SA"/>
        </w:rPr>
      </w:pPr>
      <w:bookmarkStart w:id="99" w:name="br1_98"/>
      <w:bookmarkEnd w:id="9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322"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料存货，在正常生产经营过程中，以所生产的产成品的估计售价减去至完工时估计将要发生的成</w:t>
      </w:r>
    </w:p>
    <w:p>
      <w:pPr>
        <w:framePr w:w="9322"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本、估计的销售费用和相关税费后的金额，确定其可变现净值；为执行销售合同或者劳务合同而</w:t>
      </w:r>
    </w:p>
    <w:p>
      <w:pPr>
        <w:framePr w:w="9322"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持有的存货，其可变现净值以合同价格为基础计算，若持有存货的数量多于销售合同订购数量的，</w:t>
      </w:r>
    </w:p>
    <w:p>
      <w:pPr>
        <w:framePr w:w="9322"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超出部分的存货的可变现净值以一般销售价格为基础计算。</w:t>
      </w:r>
    </w:p>
    <w:p>
      <w:pPr>
        <w:framePr w:w="9110" w:x="1798" w:y="32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期末按照单个存货项目计提存货跌价准备；但对于数量繁多、单价较低的存货，按照存货类</w:t>
      </w:r>
    </w:p>
    <w:p>
      <w:pPr>
        <w:framePr w:w="9110" w:x="1798" w:y="32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别计提存货跌价准备；与在同一地区生产和销售的产品系列相关、具有相同或类似最终用途或目</w:t>
      </w:r>
    </w:p>
    <w:p>
      <w:pPr>
        <w:framePr w:w="9110" w:x="1798" w:y="329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的，且难以与其他项目分开计量的存货，则合并计提存货跌价准备。</w:t>
      </w:r>
    </w:p>
    <w:p>
      <w:pPr>
        <w:framePr w:w="9068" w:x="1798" w:y="463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以前减记存货价值的影响因素已经消失的，减记的金额予以恢复，并在原已计提的存货跌价</w:t>
      </w:r>
    </w:p>
    <w:p>
      <w:pPr>
        <w:framePr w:w="9068" w:x="1798" w:y="46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准备金额内转回，转回的金额计入当期损益。</w:t>
      </w:r>
    </w:p>
    <w:p>
      <w:pPr>
        <w:framePr w:w="2035" w:x="2220" w:y="5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．存货的盘存制度</w:t>
      </w:r>
    </w:p>
    <w:p>
      <w:pPr>
        <w:framePr w:w="1930" w:x="2218" w:y="6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采用永续盘存制。</w:t>
      </w:r>
    </w:p>
    <w:p>
      <w:pPr>
        <w:framePr w:w="4337" w:x="1798" w:y="6631"/>
        <w:widowControl w:val="0"/>
        <w:autoSpaceDE w:val="0"/>
        <w:autoSpaceDN w:val="0"/>
        <w:spacing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．低值易耗品和包装物的摊销方法</w:t>
      </w:r>
    </w:p>
    <w:p>
      <w:pPr>
        <w:framePr w:w="4337" w:x="1798" w:y="6631"/>
        <w:widowControl w:val="0"/>
        <w:autoSpaceDE w:val="0"/>
        <w:autoSpaceDN w:val="0"/>
        <w:spacing w:before="31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）低值易耗品采用一次转销法；</w:t>
      </w:r>
    </w:p>
    <w:p>
      <w:pPr>
        <w:framePr w:w="4337" w:x="1798" w:y="6631"/>
        <w:widowControl w:val="0"/>
        <w:autoSpaceDE w:val="0"/>
        <w:autoSpaceDN w:val="0"/>
        <w:spacing w:before="31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）包装物采用一次转销法。</w:t>
      </w:r>
    </w:p>
    <w:p>
      <w:pPr>
        <w:framePr w:w="4337" w:x="1798" w:y="6631"/>
        <w:widowControl w:val="0"/>
        <w:autoSpaceDE w:val="0"/>
        <w:autoSpaceDN w:val="0"/>
        <w:spacing w:before="31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）其他周转材料采用一次转销法摊销</w:t>
      </w:r>
    </w:p>
    <w:p>
      <w:pPr>
        <w:framePr w:w="4337" w:x="1798" w:y="6631"/>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合同资产</w:t>
      </w:r>
    </w:p>
    <w:p>
      <w:pPr>
        <w:framePr w:w="3197" w:x="1798" w:y="92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合同资产的确认方法及标准</w:t>
      </w:r>
    </w:p>
    <w:p>
      <w:pPr>
        <w:framePr w:w="1817" w:x="1798" w:y="98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01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本公司已向客户转让商品而有权收取对价的权利，且该权利取决于时间流逝之外的其他因素</w:t>
      </w:r>
    </w:p>
    <w:p>
      <w:pPr>
        <w:framePr w:w="9110" w:x="1798" w:y="101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的，确认为合同资产。本公司拥有的无条件</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即，仅取决于时间流逝</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向客户收取对价的权利作为</w:t>
      </w:r>
    </w:p>
    <w:p>
      <w:pPr>
        <w:framePr w:w="9110" w:x="1798" w:y="101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应收款项单独列示。</w:t>
      </w:r>
    </w:p>
    <w:p>
      <w:pPr>
        <w:framePr w:w="5309" w:x="1798" w:y="115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合同资产预期信用损失的确定方法及会计处理方法</w:t>
      </w:r>
    </w:p>
    <w:p>
      <w:pPr>
        <w:framePr w:w="1817" w:x="1798" w:y="120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124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本公司对合同资产的预期信用损失的确定方法及会计处理方法详见财务报告五、重要会计政</w:t>
      </w:r>
    </w:p>
    <w:p>
      <w:pPr>
        <w:framePr w:w="3024" w:x="1798" w:y="128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策及会计估计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、金融工具。</w:t>
      </w:r>
    </w:p>
    <w:p>
      <w:pPr>
        <w:framePr w:w="1932" w:x="1798" w:y="133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17.</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持有待售资产</w:t>
      </w:r>
    </w:p>
    <w:p>
      <w:pPr>
        <w:framePr w:w="1922" w:x="1798" w:y="139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880" w:x="2218" w:y="14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．划分为持有待售确认标准</w:t>
      </w:r>
    </w:p>
    <w:p>
      <w:pPr>
        <w:framePr w:w="7421" w:x="2218" w:y="148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本公司将同时满足下列条件的非流动资产或处置组确认为持有待售组成部分：</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6" type="#_x0000_t75" style="width:445.6pt;height:2.7pt;margin-top:53.65pt;margin-left:87.45pt;mso-position-horizontal-relative:page;mso-position-vertical-relative:page;position:absolute;z-index:-25155686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0" w:name="br1_99"/>
      <w:bookmarkEnd w:id="10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7949"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）根据类似交易中出售此类资产或处置组的惯例，在当前状况下即可立即出售；</w:t>
      </w:r>
    </w:p>
    <w:p>
      <w:pPr>
        <w:framePr w:w="8794" w:x="221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）出售极可能发生，即本公司已经就一项出售计划作出决议，并已获得监管部门批准（如</w:t>
      </w:r>
    </w:p>
    <w:p>
      <w:pPr>
        <w:framePr w:w="5942"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适用），且获得确定的购买承诺，预计出售将在一年内完成。</w:t>
      </w:r>
    </w:p>
    <w:p>
      <w:pPr>
        <w:framePr w:w="9068" w:x="1798" w:y="30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确定的购买承诺，是指本公司与其他方签订的具有法律约束力的购买协议，该协议包含交易</w:t>
      </w:r>
    </w:p>
    <w:p>
      <w:pPr>
        <w:framePr w:w="9068" w:x="1798" w:y="30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价格、时间和足够严厉的违约惩罚等重要条款，使协议出现重大调整或者撤销的可能性极小。</w:t>
      </w:r>
    </w:p>
    <w:p>
      <w:pPr>
        <w:framePr w:w="2246" w:x="2220" w:y="39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．持有待售核算方法</w:t>
      </w:r>
    </w:p>
    <w:p>
      <w:pPr>
        <w:framePr w:w="9110" w:x="1798" w:y="44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本公司对于持有待售的非流动资产或处置组不计提折旧或摊销，其账面价值高于公允价值减</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去出售费用后的净额的，应当将账面价值减记至公允价值减去出售费用后的净额，减记的金额确</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认为资产减值损失，计入当期损益，同时计提持有待售资产减值准备。</w:t>
      </w:r>
    </w:p>
    <w:p>
      <w:pPr>
        <w:framePr w:w="9068" w:x="1798" w:y="58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对于取得日划分为持有待售类别的非流动资产或处置组，在初始计量时比较假定其不划分为</w:t>
      </w:r>
    </w:p>
    <w:p>
      <w:pPr>
        <w:framePr w:w="9068" w:x="1798" w:y="58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持有待售类别情况下的初始计量金额和公允价值减去出售费用后的净额，以两者孰低计量。</w:t>
      </w:r>
    </w:p>
    <w:p>
      <w:pPr>
        <w:framePr w:w="9184" w:x="1798" w:y="67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上述原则适用于所有非流动资产，但不包括采用公允价值模式进行后续计量的投资性房地产、</w:t>
      </w:r>
    </w:p>
    <w:p>
      <w:pPr>
        <w:framePr w:w="9184" w:x="1798" w:y="6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采用公允价值减去出售费用后的净额计量的生物资产、职工薪酬形成的资产、递延所得税资产、</w:t>
      </w:r>
    </w:p>
    <w:p>
      <w:pPr>
        <w:framePr w:w="9184" w:x="1798" w:y="6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由金融工具相关会计准则规范的金融资产、由保险合同相关会计准则规范的保险合同所产生的权</w:t>
      </w:r>
    </w:p>
    <w:p>
      <w:pPr>
        <w:framePr w:w="9184" w:x="1798" w:y="6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w:t>
      </w:r>
    </w:p>
    <w:p>
      <w:pPr>
        <w:framePr w:w="1510" w:x="1798" w:y="8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18.</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债权投资</w:t>
      </w:r>
    </w:p>
    <w:p>
      <w:pPr>
        <w:framePr w:w="5309" w:x="1798" w:y="90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债权投资预期信用损失的确定方法及会计处理方法</w:t>
      </w:r>
    </w:p>
    <w:p>
      <w:pPr>
        <w:framePr w:w="1817" w:x="1798" w:y="95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99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其他债权投资</w:t>
      </w:r>
    </w:p>
    <w:p>
      <w:pPr>
        <w:framePr w:w="5731" w:x="1798" w:y="104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其他债权投资预期信用损失的确定方法及会计处理方法</w:t>
      </w:r>
    </w:p>
    <w:p>
      <w:pPr>
        <w:framePr w:w="1817" w:x="1798" w:y="110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1" w:x="1798" w:y="114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长期应收款</w:t>
      </w:r>
    </w:p>
    <w:p>
      <w:pPr>
        <w:framePr w:w="5520" w:x="1798" w:y="119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长期应收款预期信用损失的确定方法及会计处理方法</w:t>
      </w:r>
    </w:p>
    <w:p>
      <w:pPr>
        <w:framePr w:w="1817" w:x="1798" w:y="124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128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21.</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长期股权投资</w:t>
      </w:r>
    </w:p>
    <w:p>
      <w:pPr>
        <w:framePr w:w="1922" w:x="1798" w:y="133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58" w:x="2218" w:y="137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．初始投资成本的确定</w:t>
      </w:r>
    </w:p>
    <w:p>
      <w:pPr>
        <w:framePr w:w="8794" w:x="2218" w:y="143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）企业合并形成的长期股权投资，具体会计政策详见本附注四／（四）同一控制下和非同</w:t>
      </w:r>
    </w:p>
    <w:p>
      <w:pPr>
        <w:framePr w:w="3619" w:x="1798" w:y="147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一控制下企业合并的会计处理方法。</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7" type="#_x0000_t75" style="width:445.6pt;height:2.7pt;margin-top:53.65pt;margin-left:87.45pt;mso-position-horizontal-relative:page;mso-position-vertical-relative:page;position:absolute;z-index:-25155584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1" w:name="br1_100"/>
      <w:bookmarkEnd w:id="10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514"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）其他方式取得的长期股权投资</w:t>
      </w:r>
    </w:p>
    <w:p>
      <w:pPr>
        <w:framePr w:w="9068" w:x="1798" w:y="20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以支付现金方式取得的长期股权投资，按照实际支付的购买价款作为初始投资成本。初始投</w:t>
      </w:r>
    </w:p>
    <w:p>
      <w:pPr>
        <w:framePr w:w="9068"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资成本包括与取得长期股权投资直接相关的费用、税金及其他必要支出。</w:t>
      </w:r>
    </w:p>
    <w:p>
      <w:pPr>
        <w:framePr w:w="9184" w:x="1798" w:y="30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以发行权益性证券取得的长期股权投资，按照发行权益性证券的公允价值作为初始投资成本；</w:t>
      </w:r>
    </w:p>
    <w:p>
      <w:pPr>
        <w:framePr w:w="9184" w:x="1798" w:y="30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发行或取得自身权益工具时发生的交易费用，可直接归属于权益性交易的从权益中扣减。</w:t>
      </w:r>
    </w:p>
    <w:p>
      <w:pPr>
        <w:framePr w:w="9287" w:x="1798" w:y="39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在非货币性资产交换具备商业实质和换入资产或换出资产的公允价值能够可靠计量的前提下，</w:t>
      </w:r>
    </w:p>
    <w:p>
      <w:pPr>
        <w:framePr w:w="9287" w:x="1798" w:y="393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非货币性资产交换换入的长期股权投资以换出资产的公允价值为基础确定其初始投资成本，除非</w:t>
      </w:r>
    </w:p>
    <w:p>
      <w:pPr>
        <w:framePr w:w="9287" w:x="1798" w:y="39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有确凿证据表明换入资产的公允价值更加可靠；不满足上述前提的非货币性资产交换，以换出资</w:t>
      </w:r>
    </w:p>
    <w:p>
      <w:pPr>
        <w:framePr w:w="9287" w:x="1798" w:y="39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产的账面价值和应支付的相关税费作为换入长期股权投资的初始投资成本。</w:t>
      </w:r>
    </w:p>
    <w:p>
      <w:pPr>
        <w:framePr w:w="7632" w:x="2218" w:y="56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通过债务重组取得的长期股权投资，其初始投资成本按照公允价值为基础确定。</w:t>
      </w:r>
    </w:p>
    <w:p>
      <w:pPr>
        <w:framePr w:w="2460" w:x="2218" w:y="6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．后续计量及损益确认</w:t>
      </w:r>
    </w:p>
    <w:p>
      <w:pPr>
        <w:framePr w:w="2460" w:x="2218" w:y="62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）成本法</w:t>
      </w:r>
    </w:p>
    <w:p>
      <w:pPr>
        <w:framePr w:w="9068" w:x="1798" w:y="727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本公司能够对被投资单位实施控制的长期股权投资采用成本法核算，并按照初始投资成本计</w:t>
      </w:r>
    </w:p>
    <w:p>
      <w:pPr>
        <w:framePr w:w="9068" w:x="1798" w:y="72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价，追加或收回投资调整长期股权投资的成本。</w:t>
      </w:r>
    </w:p>
    <w:p>
      <w:pPr>
        <w:framePr w:w="9068" w:x="1798" w:y="821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除取得投资时实际支付的价款或对价中包含的已宣告但尚未发放的现金股利或利润外，本公</w:t>
      </w:r>
    </w:p>
    <w:p>
      <w:pPr>
        <w:framePr w:w="9068" w:x="1798" w:y="821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司按照享有被投资单位宣告分派的现金股利或利润确认为当期投资收益。</w:t>
      </w:r>
    </w:p>
    <w:p>
      <w:pPr>
        <w:framePr w:w="1402" w:x="2218" w:y="91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）权益法</w:t>
      </w:r>
    </w:p>
    <w:p>
      <w:pPr>
        <w:framePr w:w="9110" w:x="1798" w:y="96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本公司对联营企业和合营企业的长期股权投资采用权益法核算；对于其中一部分通过风险投</w:t>
      </w:r>
    </w:p>
    <w:p>
      <w:pPr>
        <w:framePr w:w="9110" w:x="1798" w:y="96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资机构、共同基金、信托公司或包括投连险基金在内的类似主体间接持有的联营企业的权益性投</w:t>
      </w:r>
    </w:p>
    <w:p>
      <w:pPr>
        <w:framePr w:w="9110" w:x="1798" w:y="96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资，采用公允价值计量且其变动计入损益。</w:t>
      </w:r>
    </w:p>
    <w:p>
      <w:pPr>
        <w:framePr w:w="9110" w:x="1798" w:y="1102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长期股权投资的初始投资成本大于投资时应享有被投资单位可辨认净资产公允价值份额的差</w:t>
      </w:r>
    </w:p>
    <w:p>
      <w:pPr>
        <w:framePr w:w="9110" w:x="1798" w:y="110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额，不调整长期股权投资的初始投资成本；初始投资成本小于投资时应享有被投资单位可辨认净</w:t>
      </w:r>
    </w:p>
    <w:p>
      <w:pPr>
        <w:framePr w:w="9110" w:x="1798" w:y="110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资产公允价值份额的差额，计入当期损益。</w:t>
      </w:r>
    </w:p>
    <w:p>
      <w:pPr>
        <w:framePr w:w="9110" w:x="1798" w:y="1237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本公司取得长期股权投资后，按照应享有或应分担的被投资单位实现的净损益和其他综合收</w:t>
      </w:r>
    </w:p>
    <w:p>
      <w:pPr>
        <w:framePr w:w="9110" w:x="1798" w:y="1237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益的份额，分别确认投资收益和其他综合收益，同时调整长期股权投资的账面价值；并按照被投</w:t>
      </w:r>
    </w:p>
    <w:p>
      <w:pPr>
        <w:framePr w:w="9110" w:x="1798" w:y="123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资单位宣告分派的利润或现金股利计算应享有的部分，相应减少长期股权投资的账面价值；对于</w:t>
      </w:r>
    </w:p>
    <w:p>
      <w:pPr>
        <w:framePr w:w="9110" w:x="1798" w:y="123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被投资单位除净损益、其他综合收益和利润分配以外所有者权益的其他变动，调整长期股权投资</w:t>
      </w:r>
    </w:p>
    <w:p>
      <w:pPr>
        <w:framePr w:w="9110" w:x="1798" w:y="123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的账面价值并计入所有者权益。</w:t>
      </w:r>
    </w:p>
    <w:p>
      <w:pPr>
        <w:framePr w:w="9110" w:x="1798" w:y="1453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本公司在确认应享有被投资单位净损益的份额时，以取得投资时被投资单位各项可辨认资产</w:t>
      </w:r>
    </w:p>
    <w:p>
      <w:pPr>
        <w:framePr w:w="9110" w:x="1798" w:y="1453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等的公允价值为基础，对被投资单位的净利润进行调整后确认。本公司与联营企业、合营企业之</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8" type="#_x0000_t75" style="width:445.6pt;height:2.7pt;margin-top:53.65pt;margin-left:87.45pt;mso-position-horizontal-relative:page;mso-position-vertical-relative:page;position:absolute;z-index:-25155481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2" w:name="br1_101"/>
      <w:bookmarkEnd w:id="10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间发生的未实现内部交易损益按照应享有的比例计算归属于本公司的部分予以抵销，在此基础上</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确认投资损益。</w:t>
      </w:r>
    </w:p>
    <w:p>
      <w:pPr>
        <w:framePr w:w="9110" w:x="1798" w:y="24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本公司确认应分担被投资单位发生的亏损时，按照以下顺序进行处理：首先，冲减长期股权</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投资的账面价值。其次，长期股权投资的账面价值不足以冲减的，以其他实质上构成对被投资单</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位净投资的长期权益账面价值为限继续确认投资损失，冲减长期应收项目等的账面价值。最后，</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经过上述处理，按照投资合同或协议约定企业仍承担额外义务的，按预计承担的义务确认预计负</w:t>
      </w:r>
    </w:p>
    <w:p>
      <w:pPr>
        <w:framePr w:w="9110" w:x="1798" w:y="247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债，计入当期投资损失。</w:t>
      </w:r>
    </w:p>
    <w:p>
      <w:pPr>
        <w:framePr w:w="9110" w:x="1798" w:y="463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被投资单位以后期间实现盈利的，公司在扣除未确认的亏损分担额后，按与上述相反的顺序</w:t>
      </w:r>
    </w:p>
    <w:p>
      <w:pPr>
        <w:framePr w:w="9110" w:x="1798" w:y="46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处理，减记已确认预计负债的账面余额、恢复其他实质上构成对被投资单位净投资的长期权益及</w:t>
      </w:r>
    </w:p>
    <w:p>
      <w:pPr>
        <w:framePr w:w="9110" w:x="1798" w:y="46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长期股权投资的账面价值后，恢复确认投资收益。</w:t>
      </w:r>
    </w:p>
    <w:p>
      <w:pPr>
        <w:framePr w:w="3302" w:x="2218" w:y="59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．长期股权投资核算方法的转换</w:t>
      </w:r>
    </w:p>
    <w:p>
      <w:pPr>
        <w:framePr w:w="3302" w:x="2218" w:y="598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）公允价值计量转权益法核算</w:t>
      </w:r>
    </w:p>
    <w:p>
      <w:pPr>
        <w:framePr w:w="9110" w:x="1798" w:y="70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本公司原持有的对被投资单位不具有控制、共同控制或重大影响的按金融工具确认和计量准</w:t>
      </w:r>
    </w:p>
    <w:p>
      <w:pPr>
        <w:framePr w:w="9110" w:x="1798" w:y="70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则进行会计处理的权益性投资，因追加投资等原因能够对被投资单位施加重大影响或实施共同控</w:t>
      </w:r>
    </w:p>
    <w:p>
      <w:pPr>
        <w:framePr w:w="9110" w:x="1798" w:y="70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制但不构成控制的，按照《企业会计准则第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pacing w:val="-1"/>
          <w:sz w:val="21"/>
          <w:szCs w:val="22"/>
          <w:lang w:val="en-US" w:eastAsia="en-US" w:bidi="ar-SA"/>
        </w:rPr>
        <w:t>号——金融工具确认和计量》确定的原持有的股权</w:t>
      </w:r>
    </w:p>
    <w:p>
      <w:pPr>
        <w:framePr w:w="9110" w:x="1798" w:y="703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投资的公允价值加上新增投资成本之和，作为改按权益法核算的初始投资成本。</w:t>
      </w:r>
    </w:p>
    <w:p>
      <w:pPr>
        <w:framePr w:w="9110" w:x="1798" w:y="8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按权益法核算的初始投资成本小于按照追加投资后全新的持股比例计算确定的应享有被投资</w:t>
      </w:r>
    </w:p>
    <w:p>
      <w:pPr>
        <w:framePr w:w="9110" w:x="1798" w:y="8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单位在追加投资日可辨认净资产公允价值份额之间的差额，调整长期股权投资的账面价值，并计</w:t>
      </w:r>
    </w:p>
    <w:p>
      <w:pPr>
        <w:framePr w:w="9110" w:x="1798" w:y="8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入当期营业外收入。</w:t>
      </w:r>
    </w:p>
    <w:p>
      <w:pPr>
        <w:framePr w:w="4570" w:x="2218" w:y="101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）公允价值计量或权益法核算转成本法核算</w:t>
      </w:r>
    </w:p>
    <w:p>
      <w:pPr>
        <w:framePr w:w="9110" w:x="1798" w:y="106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本公司原持有的对被投资单位不具有控制、共同控制或重大影响的按金融工具确认和计量准</w:t>
      </w:r>
    </w:p>
    <w:p>
      <w:pPr>
        <w:framePr w:w="9110" w:x="1798" w:y="106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则进行会计处理的权益性投资，或原持有对联营企业、合营企业的长期股权投资，因追加投资等</w:t>
      </w:r>
    </w:p>
    <w:p>
      <w:pPr>
        <w:framePr w:w="9110" w:x="1798" w:y="106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原因能够对非同一控制下的被投资单位实施控制的，在编制个别财务报表时，按照原持有的股权</w:t>
      </w:r>
    </w:p>
    <w:p>
      <w:pPr>
        <w:framePr w:w="9110" w:x="1798" w:y="106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投资账面价值加上新增投资成本之和，作为改按成本法核算的初始投资成本。</w:t>
      </w:r>
    </w:p>
    <w:p>
      <w:pPr>
        <w:framePr w:w="9068" w:x="1798" w:y="1242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购买日之前持有的股权投资因采用权益法核算而确认的其他综合收益，在处置该项投资时采</w:t>
      </w:r>
    </w:p>
    <w:p>
      <w:pPr>
        <w:framePr w:w="9068" w:x="1798" w:y="1242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用与被投资单位直接处置相关资产或负债相同的基础进行会计处理。</w:t>
      </w:r>
    </w:p>
    <w:p>
      <w:pPr>
        <w:framePr w:w="8688" w:x="2218" w:y="13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购买日之前持有的股权投资按照《企业会计准则第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22</w:t>
      </w:r>
      <w:r>
        <w:rPr>
          <w:rFonts w:ascii="SimSun" w:hAnsi="SimSun" w:eastAsiaTheme="minorEastAsia" w:cs="SimSun"/>
          <w:color w:val="000000"/>
          <w:spacing w:val="-3"/>
          <w:sz w:val="21"/>
          <w:szCs w:val="22"/>
          <w:lang w:val="en-US" w:eastAsia="en-US" w:bidi="ar-SA"/>
        </w:rPr>
        <w:t>号——金融工具确认和计量》的有关规</w:t>
      </w:r>
    </w:p>
    <w:p>
      <w:pPr>
        <w:framePr w:w="9322" w:x="1798" w:y="137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定进行会计处理的，原计入其他综合收益的累计公允价值变动在改按成本法核算时转入当期损益。</w:t>
      </w:r>
    </w:p>
    <w:p>
      <w:pPr>
        <w:framePr w:w="3302" w:x="2218" w:y="142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）权益法核算转公允价值计量</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9" type="#_x0000_t75" style="width:445.6pt;height:2.7pt;margin-top:53.65pt;margin-left:87.45pt;mso-position-horizontal-relative:page;mso-position-vertical-relative:page;position:absolute;z-index:-25155379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3" w:name="br1_102"/>
      <w:bookmarkEnd w:id="10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本公司因处置部分股权投资等原因丧失了对被投资单位的共同控制或重大影响的，处置后的</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剩余股权改按《企业会计准则第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pacing w:val="-2"/>
          <w:sz w:val="21"/>
          <w:szCs w:val="22"/>
          <w:lang w:val="en-US" w:eastAsia="en-US" w:bidi="ar-SA"/>
        </w:rPr>
        <w:t>号——金融工具确认和计量》核算，其在丧失共同控制或重大</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影响之日的公允价值与账面价值之间的差额计入当期损益。</w:t>
      </w:r>
    </w:p>
    <w:p>
      <w:pPr>
        <w:framePr w:w="9068" w:x="1798" w:y="28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原股权投资因采用权益法核算而确认的其他综合收益，在终止采用权益法核算时采用与被投</w:t>
      </w:r>
    </w:p>
    <w:p>
      <w:pPr>
        <w:framePr w:w="9068"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资单位直接处置相关资产或负债相同的基础进行会计处理。</w:t>
      </w:r>
    </w:p>
    <w:p>
      <w:pPr>
        <w:framePr w:w="2246" w:x="2218" w:y="3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）成本法转权益法</w:t>
      </w:r>
    </w:p>
    <w:p>
      <w:pPr>
        <w:framePr w:w="9184" w:x="1798" w:y="43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本公司因处置部分权益性投资等原因丧失了对被投资单位的控制的，在编制个别财务报表时，</w:t>
      </w:r>
    </w:p>
    <w:p>
      <w:pPr>
        <w:framePr w:w="9184" w:x="1798" w:y="43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处置后的剩余股权能够对被投资单位实施共同控制或施加重大影响的，改按权益法核算，并对该</w:t>
      </w:r>
    </w:p>
    <w:p>
      <w:pPr>
        <w:framePr w:w="9184" w:x="1798" w:y="43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剩余股权视同自取得时即采用权益法核算进行调整。</w:t>
      </w:r>
    </w:p>
    <w:p>
      <w:pPr>
        <w:framePr w:w="2880" w:x="2218" w:y="56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）成本法转公允价值计量</w:t>
      </w:r>
    </w:p>
    <w:p>
      <w:pPr>
        <w:framePr w:w="9184" w:x="1798" w:y="62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本公司因处置部分权益性投资等原因丧失了对被投资单位的控制的，在编制个别财务报表时，</w:t>
      </w:r>
    </w:p>
    <w:p>
      <w:pPr>
        <w:framePr w:w="9184" w:x="1798" w:y="6223"/>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处置后的剩余股权不能对被投资单位实施共同控制或施加重大影响的，改按《企业会计准则第</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22</w:t>
      </w:r>
    </w:p>
    <w:p>
      <w:pPr>
        <w:framePr w:w="9184" w:x="1798" w:y="62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号——金融工具确认和计量》的有关规定进行会计处理，其在丧失控制之日的公允价值与账面价</w:t>
      </w:r>
    </w:p>
    <w:p>
      <w:pPr>
        <w:framePr w:w="9184" w:x="1798" w:y="62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值间的差额计入当期损益。</w:t>
      </w:r>
    </w:p>
    <w:p>
      <w:pPr>
        <w:framePr w:w="2458" w:x="2220" w:y="7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．长期股权投资的处置</w:t>
      </w:r>
    </w:p>
    <w:p>
      <w:pPr>
        <w:framePr w:w="9110" w:x="1798" w:y="850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处置长期股权投资，其账面价值与实际取得价款之间的差额，应当计入当期损益。采用权益</w:t>
      </w:r>
    </w:p>
    <w:p>
      <w:pPr>
        <w:framePr w:w="9110" w:x="1798" w:y="850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法核算的长期股权投资，在处置该项投资时，采用与被投资单位直接处置相关资产或负债相同的</w:t>
      </w:r>
    </w:p>
    <w:p>
      <w:pPr>
        <w:framePr w:w="9110" w:x="1798" w:y="850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基础，按相应比例对原计入其他综合收益的部分进行会计处理。</w:t>
      </w:r>
    </w:p>
    <w:p>
      <w:pPr>
        <w:framePr w:w="9068" w:x="1798" w:y="985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处置对子公司股权投资的各项交易的条款、条件以及经济影响符合以下一种或多种情况，将</w:t>
      </w:r>
    </w:p>
    <w:p>
      <w:pPr>
        <w:framePr w:w="9068" w:x="1798" w:y="985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多次交易事项作为一揽子交易进行会计处理：</w:t>
      </w:r>
    </w:p>
    <w:p>
      <w:pPr>
        <w:framePr w:w="6048" w:x="2218" w:y="107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）这些交易是同时或者在考虑了彼此影响的情况下订立的；</w:t>
      </w:r>
    </w:p>
    <w:p>
      <w:pPr>
        <w:framePr w:w="6048" w:x="2218" w:y="1078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）这些交易整体才能达成一项完整的商业结果；</w:t>
      </w:r>
    </w:p>
    <w:p>
      <w:pPr>
        <w:framePr w:w="7104" w:x="2218" w:y="118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）一项交易的发生取决于其他至少一项交易的发生；</w:t>
      </w:r>
    </w:p>
    <w:p>
      <w:pPr>
        <w:framePr w:w="7104" w:x="2218" w:y="1184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）一项交易单独看是不经济的，但是和其他交易一并考虑时是经济的。</w:t>
      </w:r>
    </w:p>
    <w:p>
      <w:pPr>
        <w:framePr w:w="9069" w:x="1798" w:y="129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因处置部分股权投资或其他原因丧失了对原有子公司控制权的，不属于一揽子交易的，区分</w:t>
      </w:r>
    </w:p>
    <w:p>
      <w:pPr>
        <w:framePr w:w="9069" w:x="1798" w:y="129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个别财务报表和合并财务报表进行相关会计处理：</w:t>
      </w:r>
    </w:p>
    <w:p>
      <w:pPr>
        <w:framePr w:w="9110" w:x="1798" w:y="1384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）在个别财务报表中，对于处置的股权，其账面价值与实际取得价款之间的差额计入当期</w:t>
      </w:r>
    </w:p>
    <w:p>
      <w:pPr>
        <w:framePr w:w="9110" w:x="1798" w:y="1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损益。处置后的剩余股权能够对被投资单位实施共同控制或施加重大影响的，改按权益法核算，</w:t>
      </w:r>
    </w:p>
    <w:p>
      <w:pPr>
        <w:framePr w:w="9110" w:x="1798" w:y="1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并对该剩余股权视同自取得时即采用权益法核算进行调整；处置后的剩余股权不能对被投资单位</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50" type="#_x0000_t75" style="width:445.6pt;height:2.7pt;margin-top:53.65pt;margin-left:87.45pt;mso-position-horizontal-relative:page;mso-position-vertical-relative:page;position:absolute;z-index:-25155276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4" w:name="br1_103"/>
      <w:bookmarkEnd w:id="10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实施共同控制或施加重大影响的，改按《企业会计准则第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pacing w:val="-2"/>
          <w:sz w:val="21"/>
          <w:szCs w:val="22"/>
          <w:lang w:val="en-US" w:eastAsia="en-US" w:bidi="ar-SA"/>
        </w:rPr>
        <w:t>号——金融工具确认和计量》的有关</w:t>
      </w:r>
    </w:p>
    <w:p>
      <w:pPr>
        <w:framePr w:w="8266"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规定进行会计处理，其在丧失控制之日的公允价值与账面价值间的差额计入当期损益。</w:t>
      </w:r>
    </w:p>
    <w:p>
      <w:pPr>
        <w:framePr w:w="9110" w:x="1798" w:y="24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）在合并财务报表中，对于在丧失对子公司控制权以前的各项交易，处置价款与处置长期</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股权投资相应对享有子公司自购买日或合并日开始持续计算的净资产份额之间的差额，调整资本</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公积（股本溢价），资本公积不足冲减的，调整留存收益；在丧失对子公司控制权时，对于剩余</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股权，按照其在丧失控制权日的公允价值进行重新计量。处置股权取得的对价与剩余股权公允价</w:t>
      </w:r>
    </w:p>
    <w:p>
      <w:pPr>
        <w:framePr w:w="9110" w:x="1798" w:y="247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值之和，减去按原持股比例计算应享有原有子公司自购买日开始持续计算的净资产的份额之间的</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差额，计入丧失控制权当期的投资收益，同时冲减商誉。与原有子公司股权投资相关的其他综合</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收益等，在丧失控制权时转为当期投资收益。</w:t>
      </w:r>
    </w:p>
    <w:p>
      <w:pPr>
        <w:framePr w:w="9110" w:x="1798" w:y="545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处置对子公司股权投资直至丧失控制权的各项交易属于一揽子交易的，将各项交易作为一项</w:t>
      </w:r>
    </w:p>
    <w:p>
      <w:pPr>
        <w:framePr w:w="9110" w:x="1798" w:y="545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处置子公司股权投资并丧失控制权的交易进行会计处理，区分个别财务报表和合并财务报表进行</w:t>
      </w:r>
    </w:p>
    <w:p>
      <w:pPr>
        <w:framePr w:w="9110" w:x="1798" w:y="545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相关会计处理：</w:t>
      </w:r>
    </w:p>
    <w:p>
      <w:pPr>
        <w:framePr w:w="8794" w:x="2218" w:y="6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）在个别财务报表中，在丧失控制权之前每一次处置价款与处置的股权对应的长期股权投</w:t>
      </w:r>
    </w:p>
    <w:p>
      <w:pPr>
        <w:framePr w:w="9322" w:x="1798" w:y="72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资账面价值之间的差额，确认为其他综合收益，在丧失控制权时一并转入丧失控制权当期的损益。</w:t>
      </w:r>
    </w:p>
    <w:p>
      <w:pPr>
        <w:framePr w:w="8794" w:x="2218" w:y="7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）在合并财务报表中，在丧失控制权之前每一次处置价款与处置投资对应的享有该子公司</w:t>
      </w:r>
    </w:p>
    <w:p>
      <w:pPr>
        <w:framePr w:w="8899" w:x="1798" w:y="81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净资产份额的差额，确认为其他综合收益，在丧失控制权时一并转入丧失控制权当期的损益。</w:t>
      </w:r>
    </w:p>
    <w:p>
      <w:pPr>
        <w:framePr w:w="3514" w:x="2220" w:y="86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．共同控制、重大影响的判断标准</w:t>
      </w:r>
    </w:p>
    <w:p>
      <w:pPr>
        <w:framePr w:w="9110" w:x="1798" w:y="92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如果本公司按照相关约定与其他参与方集体控制某项安排，并且对该安排回报具有重大影响</w:t>
      </w:r>
    </w:p>
    <w:p>
      <w:pPr>
        <w:framePr w:w="9110" w:x="1798" w:y="92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的活动决策，需要经过分享控制权的参与方一致同意时才存在，则视为本公司与其他参与方共同</w:t>
      </w:r>
    </w:p>
    <w:p>
      <w:pPr>
        <w:framePr w:w="9110" w:x="1798" w:y="92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控制某项安排，该安排即属于合营安排。</w:t>
      </w:r>
    </w:p>
    <w:p>
      <w:pPr>
        <w:framePr w:w="9184" w:x="1798" w:y="105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合营安排通过单独主体达成的，根据相关约定判断本公司对该单独主体的净资产享有权利时，</w:t>
      </w:r>
    </w:p>
    <w:p>
      <w:pPr>
        <w:framePr w:w="9184" w:x="1798" w:y="105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将该单独主体作为合营企业，采用权益法核算。若根据相关约定判断本公司并非对该单独主体的</w:t>
      </w:r>
    </w:p>
    <w:p>
      <w:pPr>
        <w:framePr w:w="9184" w:x="1798" w:y="105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净资产享有权利时，该单独主体作为共同经营，本公司确认与共同经营利益份额相关的项目，并</w:t>
      </w:r>
    </w:p>
    <w:p>
      <w:pPr>
        <w:framePr w:w="9184" w:x="1798" w:y="105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按照相关企业会计准则的规定进行会计处理。</w:t>
      </w:r>
    </w:p>
    <w:p>
      <w:pPr>
        <w:framePr w:w="9216" w:x="1798" w:y="123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重大影响，是指投资方对被投资单位的财务和经营政策有参与决策的权力，但并不能够控制</w:t>
      </w:r>
    </w:p>
    <w:p>
      <w:pPr>
        <w:framePr w:w="9216" w:x="1798" w:y="123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或者与其他方一起共同控制这些政策的制定。本公司通过以下一种或多种情形，并综合考虑所有</w:t>
      </w:r>
    </w:p>
    <w:p>
      <w:pPr>
        <w:framePr w:w="9216" w:x="1798" w:y="123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事实和情况后，判断对被投资单位具有重大影响：（</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）在被投资单位的董事会或类似权力机构中</w:t>
      </w:r>
    </w:p>
    <w:p>
      <w:pPr>
        <w:framePr w:w="9216" w:x="1798" w:y="123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派有代表；（</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）参与被投资单位财务和经营政策制定过程；（</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）与被投资单位之间发生重要交</w:t>
      </w:r>
    </w:p>
    <w:p>
      <w:pPr>
        <w:framePr w:w="9216" w:x="1798" w:y="123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易；（</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）向被投资单位派出管理人员；（</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）向被投资单位提供关键技术资料。</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51" type="#_x0000_t75" style="width:445.6pt;height:2.7pt;margin-top:53.65pt;margin-left:87.45pt;mso-position-horizontal-relative:page;mso-position-vertical-relative:page;position:absolute;z-index:-25155174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5" w:name="br1_104"/>
      <w:bookmarkEnd w:id="10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934"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w:t>
      </w:r>
      <w:r>
        <w:rPr>
          <w:rFonts w:ascii="SimSun" w:eastAsiaTheme="minorEastAsia" w:hAnsiTheme="minorHAnsi" w:cstheme="minorBidi"/>
          <w:color w:val="000000"/>
          <w:spacing w:val="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投资性房地产</w:t>
      </w:r>
    </w:p>
    <w:p>
      <w:pPr>
        <w:framePr w:w="319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如果采用成本计量模式的：</w:t>
      </w:r>
    </w:p>
    <w:p>
      <w:pPr>
        <w:framePr w:w="3197"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折旧或摊销方法</w:t>
      </w:r>
    </w:p>
    <w:p>
      <w:pPr>
        <w:framePr w:w="9110" w:x="1798" w:y="298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投资性房地产是指为赚取租金或资本增值，或两者兼有而持有的房地产，包括已出租的土地</w:t>
      </w:r>
    </w:p>
    <w:p>
      <w:pPr>
        <w:framePr w:w="9110" w:x="1798" w:y="298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使用权、持有并准备增值后转让的土地使用权、已出租的建筑物。此外，对于本公司持有以备经</w:t>
      </w:r>
    </w:p>
    <w:p>
      <w:pPr>
        <w:framePr w:w="9110" w:x="1798" w:y="29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营出租的空置建筑物，若董事会作出书面决议，明确表示将其用于经营出租且持有意图短期内不</w:t>
      </w:r>
    </w:p>
    <w:p>
      <w:pPr>
        <w:framePr w:w="9110" w:x="1798" w:y="29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再发生变化的，也作为投资性房地产列报。</w:t>
      </w:r>
    </w:p>
    <w:p>
      <w:pPr>
        <w:framePr w:w="9110" w:x="1798" w:y="474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本公司的投资性房地产按其成本作为入账价值，外购投资性房地产的成本包括购买价款、相</w:t>
      </w:r>
    </w:p>
    <w:p>
      <w:pPr>
        <w:framePr w:w="9110" w:x="1798" w:y="47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关税费和可直接归属于该资产的其他支出；自行建造投资性房地产的成本，由建造该项资产达到</w:t>
      </w:r>
    </w:p>
    <w:p>
      <w:pPr>
        <w:framePr w:w="9110" w:x="1798" w:y="474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预定可使用状态前所发生的必要支出构成。</w:t>
      </w:r>
    </w:p>
    <w:p>
      <w:pPr>
        <w:framePr w:w="9110" w:x="1798" w:y="608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本公司对投资性房地产采用成本模式进行后续计量，按其预计使用寿命及净残值率对建筑物</w:t>
      </w:r>
    </w:p>
    <w:p>
      <w:pPr>
        <w:framePr w:w="9110" w:x="1798" w:y="60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和土地使用权计提折旧或摊销。投资性房地产的预计使用寿命、净残值率及年折旧（摊销）率列</w:t>
      </w:r>
    </w:p>
    <w:p>
      <w:pPr>
        <w:framePr w:w="9110" w:x="1798" w:y="60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示如下：</w:t>
      </w:r>
    </w:p>
    <w:p>
      <w:pPr>
        <w:framePr w:w="662" w:x="2854" w:y="74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2141" w:x="4453" w:y="74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预计使用寿命（年）</w:t>
      </w:r>
    </w:p>
    <w:p>
      <w:pPr>
        <w:framePr w:w="1507" w:x="6949" w:y="74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预计净残值率</w:t>
      </w:r>
    </w:p>
    <w:p>
      <w:pPr>
        <w:framePr w:w="1930" w:x="8851" w:y="74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年折旧（摊销）率</w:t>
      </w:r>
    </w:p>
    <w:p>
      <w:pPr>
        <w:framePr w:w="1296" w:x="2540" w:y="7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房屋建筑物</w:t>
      </w:r>
    </w:p>
    <w:p>
      <w:pPr>
        <w:framePr w:w="451" w:x="5276" w:y="78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451" w:x="7475" w:y="78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p>
    <w:p>
      <w:pPr>
        <w:framePr w:w="768" w:x="9429" w:y="78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4.75%</w:t>
      </w:r>
    </w:p>
    <w:p>
      <w:pPr>
        <w:framePr w:w="9322" w:x="1798" w:y="8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投资性房地产的用途改变为自用时，自改变之日起，本公司将该投资性房地产转换为固定资</w:t>
      </w:r>
    </w:p>
    <w:p>
      <w:pPr>
        <w:framePr w:w="9322" w:x="1798" w:y="8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产或无形资产。自用房地产的用途改变为赚取租金或资本增值时，自改变之日起，本公司将固定</w:t>
      </w:r>
    </w:p>
    <w:p>
      <w:pPr>
        <w:framePr w:w="9322" w:x="1798" w:y="8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资产或无形资产转换为投资性房地产。发生转换时，以转换前的账面价值作为转换后的入账价值。</w:t>
      </w:r>
    </w:p>
    <w:p>
      <w:pPr>
        <w:framePr w:w="9110" w:x="1798" w:y="978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当投资性房地产被处置，或者永久退出使用且预计不能从其处置中取得经济利益时，终止确</w:t>
      </w:r>
    </w:p>
    <w:p>
      <w:pPr>
        <w:framePr w:w="9110" w:x="1798" w:y="97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认该项投资性房地产。投资性房地产出售、转让、报废或毁损的处置收入扣除其账面价值和相关</w:t>
      </w:r>
    </w:p>
    <w:p>
      <w:pPr>
        <w:framePr w:w="9110" w:x="1798" w:y="97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税费后的金额计入当期损益。</w:t>
      </w:r>
    </w:p>
    <w:p>
      <w:pPr>
        <w:framePr w:w="1512" w:x="1798" w:y="111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23.</w:t>
      </w:r>
      <w:r>
        <w:rPr>
          <w:rFonts w:ascii="SimSun" w:eastAsiaTheme="minorEastAsia" w:hAnsiTheme="minorHAnsi" w:cstheme="minorBidi"/>
          <w:color w:val="000000"/>
          <w:spacing w:val="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固定资产</w:t>
      </w:r>
    </w:p>
    <w:p>
      <w:pPr>
        <w:framePr w:w="1512" w:x="1798" w:y="11129"/>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确认条件</w:t>
      </w:r>
    </w:p>
    <w:p>
      <w:pPr>
        <w:framePr w:w="1817" w:x="1798" w:y="121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2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固定资产指为生产商品、提供劳务、出租或经营管理而持有，并且使用寿命超过一个会计年度的</w:t>
      </w:r>
    </w:p>
    <w:p>
      <w:pPr>
        <w:framePr w:w="9110" w:x="1798" w:y="1258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有形资产。固定资产在同时满足下列条件时予以确认：</w:t>
      </w:r>
    </w:p>
    <w:p>
      <w:pPr>
        <w:framePr w:w="5203" w:x="1798" w:y="135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）与该固定资产有关的经济利益很可能流入企业；</w:t>
      </w:r>
    </w:p>
    <w:p>
      <w:pPr>
        <w:framePr w:w="5203" w:x="1798" w:y="1351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）该固定资产的成本能够可靠地计量。</w:t>
      </w:r>
    </w:p>
    <w:p>
      <w:pPr>
        <w:framePr w:w="5203" w:x="1798" w:y="1351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折旧方法</w:t>
      </w:r>
    </w:p>
    <w:p>
      <w:pPr>
        <w:framePr w:w="1817" w:x="1798" w:y="15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52" type="#_x0000_t75" style="width:445.6pt;height:2.7pt;margin-top:53.65pt;margin-left:87.45pt;mso-position-horizontal-relative:page;mso-position-vertical-relative:page;position:absolute;z-index:-251394048">
            <v:imagedata r:id="rId182" o:title=""/>
          </v:shape>
        </w:pict>
      </w:r>
      <w:r>
        <w:rPr>
          <w:noProof/>
        </w:rPr>
        <w:pict>
          <v:shape id="_x0000_s1253" type="#_x0000_t75" style="width:445.6pt;height:46.4pt;margin-top:369.05pt;margin-left:87.6pt;mso-position-horizontal-relative:page;mso-position-vertical-relative:page;position:absolute;z-index:-251550720">
            <v:imagedata r:id="rId183" o:title=""/>
          </v:shape>
        </w:pict>
      </w:r>
    </w:p>
    <w:p>
      <w:pPr>
        <w:spacing w:line="0" w:lineRule="atLeast"/>
        <w:rPr>
          <w:rFonts w:ascii="Arial" w:eastAsiaTheme="minorEastAsia" w:hAnsiTheme="minorHAnsi" w:cstheme="minorBidi"/>
          <w:color w:val="FF0000"/>
          <w:sz w:val="2"/>
          <w:szCs w:val="22"/>
          <w:lang w:val="en-US" w:eastAsia="en-US" w:bidi="ar-SA"/>
        </w:rPr>
      </w:pPr>
      <w:bookmarkStart w:id="106" w:name="br1_105"/>
      <w:bookmarkEnd w:id="10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07" w:x="1798" w:y="1547"/>
        <w:widowControl w:val="0"/>
        <w:autoSpaceDE w:val="0"/>
        <w:autoSpaceDN w:val="0"/>
        <w:spacing w:line="211" w:lineRule="exact"/>
        <w:ind w:left="5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507"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房屋及建筑物</w:t>
      </w:r>
    </w:p>
    <w:p>
      <w:pPr>
        <w:framePr w:w="1507" w:x="179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机器设备</w:t>
      </w:r>
    </w:p>
    <w:p>
      <w:pPr>
        <w:framePr w:w="1469" w:x="3516" w:y="1547"/>
        <w:widowControl w:val="0"/>
        <w:autoSpaceDE w:val="0"/>
        <w:autoSpaceDN w:val="0"/>
        <w:spacing w:line="211" w:lineRule="exact"/>
        <w:ind w:left="38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折旧方法</w:t>
      </w:r>
    </w:p>
    <w:p>
      <w:pPr>
        <w:framePr w:w="1469" w:x="3516"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年限平均法</w:t>
      </w:r>
    </w:p>
    <w:p>
      <w:pPr>
        <w:framePr w:w="1469" w:x="3516"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年限平均法</w:t>
      </w:r>
    </w:p>
    <w:p>
      <w:pPr>
        <w:framePr w:w="1469" w:x="3516"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年限平均法</w:t>
      </w:r>
    </w:p>
    <w:p>
      <w:pPr>
        <w:framePr w:w="1469" w:x="3516"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年限平均法</w:t>
      </w:r>
    </w:p>
    <w:p>
      <w:pPr>
        <w:framePr w:w="1718" w:x="5420"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折旧年限（年）</w:t>
      </w:r>
    </w:p>
    <w:p>
      <w:pPr>
        <w:framePr w:w="874" w:x="7674"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残值率</w:t>
      </w:r>
    </w:p>
    <w:p>
      <w:pPr>
        <w:framePr w:w="1471" w:x="9014" w:y="1547"/>
        <w:widowControl w:val="0"/>
        <w:autoSpaceDE w:val="0"/>
        <w:autoSpaceDN w:val="0"/>
        <w:spacing w:line="211" w:lineRule="exact"/>
        <w:ind w:left="38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年折旧率</w:t>
      </w:r>
    </w:p>
    <w:p>
      <w:pPr>
        <w:framePr w:w="1471" w:x="9014"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4.75</w:t>
      </w:r>
    </w:p>
    <w:p>
      <w:pPr>
        <w:framePr w:w="451" w:x="5348"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346" w:x="7182"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7182"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346" w:x="7182"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7182" w:y="182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662" w:x="5348"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5-10</w:t>
      </w:r>
    </w:p>
    <w:p>
      <w:pPr>
        <w:framePr w:w="662" w:x="5348"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1085" w:x="9014"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9.7-19.4</w:t>
      </w:r>
    </w:p>
    <w:p>
      <w:pPr>
        <w:framePr w:w="1085" w:x="9014"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w:t>
      </w:r>
    </w:p>
    <w:p>
      <w:pPr>
        <w:framePr w:w="1085" w:x="1798"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运输设备</w:t>
      </w:r>
    </w:p>
    <w:p>
      <w:pPr>
        <w:framePr w:w="1085" w:x="1798"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电子设备</w:t>
      </w:r>
    </w:p>
    <w:p>
      <w:pPr>
        <w:framePr w:w="557" w:x="5348"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w:t>
      </w:r>
    </w:p>
    <w:p>
      <w:pPr>
        <w:framePr w:w="1085" w:x="9014"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19-31.67</w:t>
      </w:r>
    </w:p>
    <w:p>
      <w:pPr>
        <w:framePr w:w="5098" w:x="1798" w:y="3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融资租入固定资产的认定依据、计价和折旧方法</w:t>
      </w:r>
    </w:p>
    <w:p>
      <w:pPr>
        <w:framePr w:w="1922" w:x="1798" w:y="36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843" w:x="2218" w:y="41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当本公司租入的固定资产符合下列一项或数项标准时，确认为融资租入固定资产：</w:t>
      </w:r>
    </w:p>
    <w:p>
      <w:pPr>
        <w:framePr w:w="5626" w:x="2218" w:y="46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）在租赁期届满时，租赁资产的所有权转移给本公司。</w:t>
      </w:r>
    </w:p>
    <w:p>
      <w:pPr>
        <w:framePr w:w="9078" w:x="1798" w:y="507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）本公司有购买租赁资产的选择权，所订立的购买价款预计将远低于行使选择权时租赁资</w:t>
      </w:r>
    </w:p>
    <w:p>
      <w:pPr>
        <w:framePr w:w="9078" w:x="1798" w:y="50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产的公允价值，因而在租赁开始日就可以合理确定本公司将会行使这种选择权。</w:t>
      </w:r>
    </w:p>
    <w:p>
      <w:pPr>
        <w:framePr w:w="9078" w:x="1798" w:y="507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）即使资产的所有权不转移，但租赁期占租赁资产使用寿命的大部分。</w:t>
      </w:r>
    </w:p>
    <w:p>
      <w:pPr>
        <w:framePr w:w="9005" w:x="2218" w:y="62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5"/>
          <w:sz w:val="21"/>
          <w:szCs w:val="22"/>
          <w:lang w:val="en-US" w:eastAsia="en-US" w:bidi="ar-SA"/>
        </w:rPr>
        <w:t>）本公司在租赁开始日的最低租赁付款额现值，几乎相当于租赁开始日租赁资产公允价值。</w:t>
      </w:r>
    </w:p>
    <w:p>
      <w:pPr>
        <w:framePr w:w="9005" w:x="2218" w:y="62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）租赁资产性质特殊，如果不作较大改造，只有本公司才能使用。</w:t>
      </w:r>
    </w:p>
    <w:p>
      <w:pPr>
        <w:framePr w:w="9110" w:x="1798" w:y="711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融资租赁租入的固定资产，按租赁开始日租赁资产公允价值与最低租赁付款额的现值两者中</w:t>
      </w:r>
    </w:p>
    <w:p>
      <w:pPr>
        <w:framePr w:w="9110" w:x="1798" w:y="71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较低者，作为入账价值。最低租赁付款额作为长期应付款的入账价值，其差额作为未确认融资费</w:t>
      </w:r>
    </w:p>
    <w:p>
      <w:pPr>
        <w:framePr w:w="9110" w:x="1798" w:y="71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用。在租赁谈判和签订租赁合同过程中发生的，可归属于租赁项目的手续费、律师费、差旅费、</w:t>
      </w:r>
    </w:p>
    <w:p>
      <w:pPr>
        <w:framePr w:w="9110" w:x="1798" w:y="71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印花税等初始直接费用，计入租入资产价值。未确认融资费用在租赁期内各个期间采用实际利率</w:t>
      </w:r>
    </w:p>
    <w:p>
      <w:pPr>
        <w:framePr w:w="9110" w:x="1798" w:y="7116"/>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法进行分摊。</w:t>
      </w:r>
    </w:p>
    <w:p>
      <w:pPr>
        <w:framePr w:w="9110" w:x="1798" w:y="915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本公司采用与自有固定资产相一致的折旧政策计提融资租入固定资产折旧。能够合理确定租</w:t>
      </w:r>
    </w:p>
    <w:p>
      <w:pPr>
        <w:framePr w:w="9110" w:x="1798" w:y="915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赁期届满时取得租赁资产所有权的，在租赁资产使用寿命内计提折旧。无法合理确定租赁期届满</w:t>
      </w:r>
    </w:p>
    <w:p>
      <w:pPr>
        <w:framePr w:w="9110" w:x="1798" w:y="915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时能够取得租赁资产所有权的，在租赁期与租赁资产使用寿命两者中较短的期间内计提折旧。</w:t>
      </w:r>
    </w:p>
    <w:p>
      <w:pPr>
        <w:framePr w:w="1510" w:x="1798" w:y="105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在建工程</w:t>
      </w:r>
    </w:p>
    <w:p>
      <w:pPr>
        <w:framePr w:w="1922" w:x="1798" w:y="110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46" w:x="2218" w:y="11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．在建工程初始计量</w:t>
      </w:r>
    </w:p>
    <w:p>
      <w:pPr>
        <w:framePr w:w="9110" w:x="1798" w:y="1195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本公司自行建造的在建工程按实际成本计价，实际成本由建造该项资产达到预定可使用状态</w:t>
      </w:r>
    </w:p>
    <w:p>
      <w:pPr>
        <w:framePr w:w="9110" w:x="1798" w:y="11953"/>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前所发生的必要支出构成，包括工程用物资成本、人工成本、交纳的相关税费、应予资本化的借</w:t>
      </w:r>
    </w:p>
    <w:p>
      <w:pPr>
        <w:framePr w:w="9110" w:x="1798" w:y="1195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款费用以及应分摊的间接费用等。</w:t>
      </w:r>
    </w:p>
    <w:p>
      <w:pPr>
        <w:framePr w:w="4147" w:x="2220" w:y="13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．在建工程结转为固定资产的标准和时点</w:t>
      </w:r>
    </w:p>
    <w:p>
      <w:pPr>
        <w:framePr w:w="9110" w:x="1798" w:y="138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在建工程项目按建造该项资产达到预定可使用状态前所发生的全部支出，作为固定资产的入</w:t>
      </w:r>
    </w:p>
    <w:p>
      <w:pPr>
        <w:framePr w:w="9110" w:x="1798" w:y="138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账价值。所建造的在建工程已达到预定可使用状态，但尚未办理竣工决算的，自达到预定可使用</w:t>
      </w:r>
    </w:p>
    <w:p>
      <w:pPr>
        <w:framePr w:w="9110" w:x="1798" w:y="1382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状态之日起，根据工程预算、造价或者工程实际成本等，按估计的价值转入固定资产，并按本公</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54" type="#_x0000_t75" style="width:445.6pt;height:2.7pt;margin-top:53.65pt;margin-left:87.45pt;mso-position-horizontal-relative:page;mso-position-vertical-relative:page;position:absolute;z-index:-251393024">
            <v:imagedata r:id="rId184" o:title=""/>
          </v:shape>
        </w:pict>
      </w:r>
      <w:r>
        <w:rPr>
          <w:noProof/>
        </w:rPr>
        <w:pict>
          <v:shape id="_x0000_s1255" type="#_x0000_t75" style="width:454.95pt;height:73.2pt;margin-top:74.3pt;margin-left:83.25pt;mso-position-horizontal-relative:page;mso-position-vertical-relative:page;position:absolute;z-index:-251549696">
            <v:imagedata r:id="rId185" o:title=""/>
          </v:shape>
        </w:pict>
      </w:r>
    </w:p>
    <w:p>
      <w:pPr>
        <w:spacing w:line="0" w:lineRule="atLeast"/>
        <w:rPr>
          <w:rFonts w:ascii="Arial" w:eastAsiaTheme="minorEastAsia" w:hAnsiTheme="minorHAnsi" w:cstheme="minorBidi"/>
          <w:color w:val="FF0000"/>
          <w:sz w:val="2"/>
          <w:szCs w:val="22"/>
          <w:lang w:val="en-US" w:eastAsia="en-US" w:bidi="ar-SA"/>
        </w:rPr>
      </w:pPr>
      <w:bookmarkStart w:id="107" w:name="br1_106"/>
      <w:bookmarkEnd w:id="10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司固定资产折旧政策计提固定资产的折旧，待办理竣工决算后，再按实际成本调整原来的暂估价</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值，但不调整原已计提的折旧额。</w:t>
      </w:r>
    </w:p>
    <w:p>
      <w:pPr>
        <w:framePr w:w="1510"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借款费用</w:t>
      </w:r>
    </w:p>
    <w:p>
      <w:pPr>
        <w:framePr w:w="1922" w:x="1798" w:y="30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91" w:x="2218" w:y="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．借款费用资本化的确认原则</w:t>
      </w:r>
    </w:p>
    <w:p>
      <w:pPr>
        <w:framePr w:w="9068" w:x="1798" w:y="392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本公司发生的借款费用，可直接归属于符合资本化条件的资产的购建或者生产的，予以资本</w:t>
      </w:r>
    </w:p>
    <w:p>
      <w:pPr>
        <w:framePr w:w="9068" w:x="1798" w:y="392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化，计入相关资产成本；其他借款费用，在发生时根据其发生额确认为费用，计入当期损益。</w:t>
      </w:r>
    </w:p>
    <w:p>
      <w:pPr>
        <w:framePr w:w="9068" w:x="1798" w:y="486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符合资本化条件的资产，是指需要经过相当长时间的购建或者生产活动才能达到预定可使用</w:t>
      </w:r>
    </w:p>
    <w:p>
      <w:pPr>
        <w:framePr w:w="9068" w:x="1798" w:y="48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或者可销售状态的固定资产、投资性房地产和存货等资产。</w:t>
      </w:r>
    </w:p>
    <w:p>
      <w:pPr>
        <w:framePr w:w="4253" w:x="2218" w:y="5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借款费用同时满足下列条件时开始资本化：</w:t>
      </w:r>
    </w:p>
    <w:p>
      <w:pPr>
        <w:framePr w:w="9005" w:x="2218" w:y="63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5"/>
          <w:sz w:val="21"/>
          <w:szCs w:val="22"/>
          <w:lang w:val="en-US" w:eastAsia="en-US" w:bidi="ar-SA"/>
        </w:rPr>
        <w:t>）资产支出已经发生，资产支出包括为购建或者生产符合资本化条件的资产而以支付现金、</w:t>
      </w:r>
    </w:p>
    <w:p>
      <w:pPr>
        <w:framePr w:w="5098" w:x="1798" w:y="6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转移非现金资产或者承担带息债务形式发生的支出；</w:t>
      </w:r>
    </w:p>
    <w:p>
      <w:pPr>
        <w:framePr w:w="2669" w:x="2218" w:y="72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）借款费用已经发生；</w:t>
      </w:r>
    </w:p>
    <w:p>
      <w:pPr>
        <w:framePr w:w="8160" w:x="2218" w:y="77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）为使资产达到预定可使用或者可销售状态所必要的购建或者生产活动已经开始。</w:t>
      </w:r>
    </w:p>
    <w:p>
      <w:pPr>
        <w:framePr w:w="8160" w:x="2218" w:y="779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．借款费用资本化期间</w:t>
      </w:r>
    </w:p>
    <w:p>
      <w:pPr>
        <w:framePr w:w="9068" w:x="1798" w:y="88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资本化期间，指从借款费用开始资本化时点到停止资本化时点的期间，借款费用暂停资本化</w:t>
      </w:r>
    </w:p>
    <w:p>
      <w:pPr>
        <w:framePr w:w="9068" w:x="1798" w:y="88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的期间不包括在内。</w:t>
      </w:r>
    </w:p>
    <w:p>
      <w:pPr>
        <w:framePr w:w="9068" w:x="1798" w:y="978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当购建或者生产符合资本化条件的资产达到预定可使用或者可销售状态时，借款费用停止资</w:t>
      </w:r>
    </w:p>
    <w:p>
      <w:pPr>
        <w:framePr w:w="9068" w:x="1798" w:y="978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本化。</w:t>
      </w:r>
    </w:p>
    <w:p>
      <w:pPr>
        <w:framePr w:w="9068" w:x="1798" w:y="1072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当购建或者生产符合资本化条件的资产中部分项目分别完工且可单独使用时，该部分资产借</w:t>
      </w:r>
    </w:p>
    <w:p>
      <w:pPr>
        <w:framePr w:w="9068" w:x="1798" w:y="1072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款费用停止资本化。</w:t>
      </w:r>
    </w:p>
    <w:p>
      <w:pPr>
        <w:framePr w:w="9068" w:x="1798" w:y="1166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购建或者生产的资产的各部分分别完工，但必须等到整体完工后才可使用或可对外销售的，</w:t>
      </w:r>
    </w:p>
    <w:p>
      <w:pPr>
        <w:framePr w:w="9068" w:x="1798" w:y="116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在该资产整体完工时停止借款费用资本化。</w:t>
      </w:r>
    </w:p>
    <w:p>
      <w:pPr>
        <w:framePr w:w="2035" w:x="2220" w:y="125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．暂停资本化期间</w:t>
      </w:r>
    </w:p>
    <w:p>
      <w:pPr>
        <w:framePr w:w="9110" w:x="1798" w:y="1312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符合资本化条件的资产在购建或生产过程中发生的非正常中断、且中断时间连续超过</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pacing w:val="1"/>
          <w:sz w:val="21"/>
          <w:szCs w:val="22"/>
          <w:lang w:val="en-US" w:eastAsia="en-US" w:bidi="ar-SA"/>
        </w:rPr>
        <w:t>个月</w:t>
      </w:r>
    </w:p>
    <w:p>
      <w:pPr>
        <w:framePr w:w="9110" w:x="1798" w:y="131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的，则借款费用暂停资本化；该项中断如是所购建或生产的符合资本化条件的资产达到预定可使</w:t>
      </w:r>
    </w:p>
    <w:p>
      <w:pPr>
        <w:framePr w:w="9110" w:x="1798" w:y="131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用状态或者可销售状态必要的程序，则借款费用继续资本化。在中断期间发生的借款费用确认为</w:t>
      </w:r>
    </w:p>
    <w:p>
      <w:pPr>
        <w:framePr w:w="9110" w:x="1798" w:y="131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当期损益，直至资产的购建或者生产活动重新开始后借款费用继续资本化。</w:t>
      </w:r>
    </w:p>
    <w:p>
      <w:pPr>
        <w:framePr w:w="3514" w:x="2220" w:y="148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．借款费用资本化金额的计算方法</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56" type="#_x0000_t75" style="width:445.6pt;height:2.7pt;margin-top:53.65pt;margin-left:87.45pt;mso-position-horizontal-relative:page;mso-position-vertical-relative:page;position:absolute;z-index:-25154867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8" w:name="br1_107"/>
      <w:bookmarkEnd w:id="10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专门借款的利息费用（扣除尚未动用的借款资金存入银行取得的利息收入或者进行暂时性投</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资取得的投资收益）及其辅助费用在所购建或者生产的符合资本化条件的资产达到预定可使用或</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者可销售状态前，予以资本化。</w:t>
      </w:r>
    </w:p>
    <w:p>
      <w:pPr>
        <w:framePr w:w="9287" w:x="1798" w:y="28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根据累计资产支出超过专门借款部分的资产支出加权平均数乘以所占用一般借款的资本化率，</w:t>
      </w:r>
    </w:p>
    <w:p>
      <w:pPr>
        <w:framePr w:w="9287"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计算确定一般借款应予资本化的利息金额。资本化率根据一般借款加权平均利率计算确定。</w:t>
      </w:r>
    </w:p>
    <w:p>
      <w:pPr>
        <w:framePr w:w="9068" w:x="1798" w:y="38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借款存在折价或者溢价的，按照实际利率法确定每一会计期间应摊销的折价或者溢价金额，</w:t>
      </w:r>
    </w:p>
    <w:p>
      <w:pPr>
        <w:framePr w:w="9068" w:x="1798" w:y="381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调整每期利息金额。</w:t>
      </w:r>
    </w:p>
    <w:p>
      <w:pPr>
        <w:framePr w:w="1510" w:x="1798" w:y="47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26.</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生物资产</w:t>
      </w:r>
    </w:p>
    <w:p>
      <w:pPr>
        <w:framePr w:w="1922" w:x="1798" w:y="52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56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27.</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油气资产</w:t>
      </w:r>
    </w:p>
    <w:p>
      <w:pPr>
        <w:framePr w:w="1922" w:x="1798" w:y="62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1" w:x="1798" w:y="6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使用权资产</w:t>
      </w:r>
    </w:p>
    <w:p>
      <w:pPr>
        <w:framePr w:w="1817" w:x="1798" w:y="71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75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29.</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无形资产</w:t>
      </w:r>
    </w:p>
    <w:p>
      <w:pPr>
        <w:framePr w:w="3619" w:x="1798" w:y="8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计价方法、使用寿命、减值测试</w:t>
      </w:r>
    </w:p>
    <w:p>
      <w:pPr>
        <w:framePr w:w="1817" w:x="1798" w:y="85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84" w:x="1798" w:y="910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无形资产是指本公司拥有或者控制的没有实物形态的可辨认非货币性资产，包括土地使用权、</w:t>
      </w:r>
    </w:p>
    <w:p>
      <w:pPr>
        <w:framePr w:w="9184" w:x="1798" w:y="910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技术使用权、软件使用权等。</w:t>
      </w:r>
    </w:p>
    <w:p>
      <w:pPr>
        <w:framePr w:w="2352" w:x="2220" w:y="100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无形资产的初始计量</w:t>
      </w:r>
    </w:p>
    <w:p>
      <w:pPr>
        <w:framePr w:w="9110" w:x="1798" w:y="1045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外购无形资产的成本，包括购买价款、相关税费以及直接归属于使该项资产达到预定用途所</w:t>
      </w:r>
    </w:p>
    <w:p>
      <w:pPr>
        <w:framePr w:w="9110" w:x="1798" w:y="1045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发生的其他支出。购买无形资产的价款超过正常信用条件延期支付，实质上具有融资性质的，无</w:t>
      </w:r>
    </w:p>
    <w:p>
      <w:pPr>
        <w:framePr w:w="9110" w:x="1798" w:y="1045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形资产的成本以购买价款的现值为基础确定。</w:t>
      </w:r>
    </w:p>
    <w:p>
      <w:pPr>
        <w:framePr w:w="9287" w:x="1798" w:y="116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债务重组取得债务人用以抵债的无形资产，以该无形资产的公允价值为基础确定其入账价值，</w:t>
      </w:r>
    </w:p>
    <w:p>
      <w:pPr>
        <w:framePr w:w="9287" w:x="1798" w:y="116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并将重组债务的账面价值与该用以抵债的无形资产公允价值之间的差额，计入当期损益。</w:t>
      </w:r>
    </w:p>
    <w:p>
      <w:pPr>
        <w:framePr w:w="9287" w:x="1798" w:y="11677"/>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在非货币性资产交换具备商业实质且换入资产或换出资产的公允价值能够可靠计量的前提下，</w:t>
      </w:r>
    </w:p>
    <w:p>
      <w:pPr>
        <w:framePr w:w="9287" w:x="1798" w:y="1167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非货币性资产交换换入的无形资产以换出资产的公允价值为基础确定其入账价值，除非有确凿证</w:t>
      </w:r>
    </w:p>
    <w:p>
      <w:pPr>
        <w:framePr w:w="9287" w:x="1798" w:y="116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据表明换入资产的公允价值更加可靠；不满足上述前提的非货币性资产交换，以换出资产的账面</w:t>
      </w:r>
    </w:p>
    <w:p>
      <w:pPr>
        <w:framePr w:w="9287" w:x="1798" w:y="116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价值和应支付的相关税费作为换入无形资产的成本，不确认损益。</w:t>
      </w:r>
    </w:p>
    <w:p>
      <w:pPr>
        <w:framePr w:w="9068" w:x="1798" w:y="141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以同一控制下的企业吸收合并方式取得的无形资产按被合并方的账面价值确定其入账价值；</w:t>
      </w:r>
    </w:p>
    <w:p>
      <w:pPr>
        <w:framePr w:w="9068" w:x="1798" w:y="141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以非同一控制下的企业吸收合并方式取得的无形资产按公允价值确定其入账价值。</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57" type="#_x0000_t75" style="width:445.6pt;height:2.7pt;margin-top:53.65pt;margin-left:87.45pt;mso-position-horizontal-relative:page;mso-position-vertical-relative:page;position:absolute;z-index:-25154764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9" w:name="br1_108"/>
      <w:bookmarkEnd w:id="10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内部自行开发的无形资产，其成本包括：开发该无形资产时耗用的材料、劳务成本、注册费、</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在开发过程中使用的其他专利权和特许权的摊销以及满足资本化条件的利息费用，以及为使该无</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形资产达到预定用途前所发生的其他直接费用。</w:t>
      </w:r>
    </w:p>
    <w:p>
      <w:pPr>
        <w:framePr w:w="2352" w:x="2220" w:y="2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无形资产的后续计量</w:t>
      </w:r>
    </w:p>
    <w:p>
      <w:pPr>
        <w:framePr w:w="9068" w:x="1798" w:y="317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本公司在取得无形资产时分析判断其使用寿命，划分为使用寿命有限和使用寿命不确定的无</w:t>
      </w:r>
    </w:p>
    <w:p>
      <w:pPr>
        <w:framePr w:w="9068" w:x="1798" w:y="317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形资产。</w:t>
      </w:r>
    </w:p>
    <w:p>
      <w:pPr>
        <w:framePr w:w="3091" w:x="2218" w:y="3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）使用寿命有限的无形资产</w:t>
      </w:r>
    </w:p>
    <w:p>
      <w:pPr>
        <w:framePr w:w="9069" w:x="1798" w:y="439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对于使用寿命有限的无形资产，在为企业带来经济利益的期限内按直线法摊销。使用寿命有</w:t>
      </w:r>
    </w:p>
    <w:p>
      <w:pPr>
        <w:framePr w:w="9069"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限的无形资产预计寿命及依据如下：</w:t>
      </w:r>
    </w:p>
    <w:p>
      <w:pPr>
        <w:framePr w:w="662" w:x="3147" w:y="52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5384" w:y="52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预计使用寿命</w:t>
      </w:r>
    </w:p>
    <w:p>
      <w:pPr>
        <w:framePr w:w="1507" w:x="5384" w:y="5244"/>
        <w:widowControl w:val="0"/>
        <w:autoSpaceDE w:val="0"/>
        <w:autoSpaceDN w:val="0"/>
        <w:spacing w:before="206" w:line="211" w:lineRule="exact"/>
        <w:ind w:left="39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w:t>
      </w:r>
      <w:r>
        <w:rPr>
          <w:rFonts w:ascii="SimSun" w:hAnsi="SimSun" w:eastAsiaTheme="minorEastAsia" w:cs="SimSun"/>
          <w:color w:val="000000"/>
          <w:sz w:val="21"/>
          <w:szCs w:val="22"/>
          <w:lang w:val="en-US" w:eastAsia="en-US" w:bidi="ar-SA"/>
        </w:rPr>
        <w:t>年</w:t>
      </w:r>
    </w:p>
    <w:p>
      <w:pPr>
        <w:framePr w:w="662" w:x="8610" w:y="52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依据</w:t>
      </w:r>
    </w:p>
    <w:p>
      <w:pPr>
        <w:framePr w:w="1296" w:x="2830" w:y="56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土地使用权</w:t>
      </w:r>
    </w:p>
    <w:p>
      <w:pPr>
        <w:framePr w:w="1296" w:x="2830" w:y="5662"/>
        <w:widowControl w:val="0"/>
        <w:autoSpaceDE w:val="0"/>
        <w:autoSpaceDN w:val="0"/>
        <w:spacing w:before="20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技术使用权</w:t>
      </w:r>
    </w:p>
    <w:p>
      <w:pPr>
        <w:framePr w:w="1296" w:x="2830" w:y="5662"/>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软件使用权</w:t>
      </w:r>
    </w:p>
    <w:p>
      <w:pPr>
        <w:framePr w:w="2774" w:x="7559" w:y="56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土地使用权证规定使用年限</w:t>
      </w:r>
    </w:p>
    <w:p>
      <w:pPr>
        <w:framePr w:w="2774" w:x="7559" w:y="5662"/>
        <w:widowControl w:val="0"/>
        <w:autoSpaceDE w:val="0"/>
        <w:autoSpaceDN w:val="0"/>
        <w:spacing w:before="209"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合同约定、预计使用年限</w:t>
      </w:r>
    </w:p>
    <w:p>
      <w:pPr>
        <w:framePr w:w="2774" w:x="7559" w:y="5662"/>
        <w:widowControl w:val="0"/>
        <w:autoSpaceDE w:val="0"/>
        <w:autoSpaceDN w:val="0"/>
        <w:spacing w:before="206"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预计使用年限</w:t>
      </w:r>
    </w:p>
    <w:p>
      <w:pPr>
        <w:framePr w:w="924" w:x="5672" w:y="60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5-15</w:t>
      </w:r>
      <w:r>
        <w:rPr>
          <w:rFonts w:ascii="SimSun" w:hAnsi="SimSun" w:eastAsiaTheme="minorEastAsia" w:cs="SimSun"/>
          <w:color w:val="000000"/>
          <w:sz w:val="21"/>
          <w:szCs w:val="22"/>
          <w:lang w:val="en-US" w:eastAsia="en-US" w:bidi="ar-SA"/>
        </w:rPr>
        <w:t>年</w:t>
      </w:r>
    </w:p>
    <w:p>
      <w:pPr>
        <w:framePr w:w="924" w:x="5672" w:y="6082"/>
        <w:widowControl w:val="0"/>
        <w:autoSpaceDE w:val="0"/>
        <w:autoSpaceDN w:val="0"/>
        <w:spacing w:before="206" w:line="211" w:lineRule="exact"/>
        <w:ind w:left="158"/>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年</w:t>
      </w:r>
    </w:p>
    <w:p>
      <w:pPr>
        <w:framePr w:w="9068" w:x="1798" w:y="69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每期末，对使用寿命有限的无形资产的使用寿命及摊销方法进行复核，如与原先估计数存在</w:t>
      </w:r>
    </w:p>
    <w:p>
      <w:pPr>
        <w:framePr w:w="9068" w:x="1798" w:y="69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差异的，进行相应的调整。</w:t>
      </w:r>
    </w:p>
    <w:p>
      <w:pPr>
        <w:framePr w:w="6998" w:x="2218" w:y="7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经复核，本期期末无形资产的使用寿命及摊销方法与以前估计未有不同。</w:t>
      </w:r>
    </w:p>
    <w:p>
      <w:pPr>
        <w:framePr w:w="6998" w:x="2218" w:y="775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）使用寿命不确定的无形资产</w:t>
      </w:r>
    </w:p>
    <w:p>
      <w:pPr>
        <w:framePr w:w="7843" w:x="2218" w:y="8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无法预见无形资产为企业带来经济利益期限的，视为使用寿命不确定的无形资产。</w:t>
      </w:r>
    </w:p>
    <w:p>
      <w:pPr>
        <w:framePr w:w="7843" w:x="2218" w:y="85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本公司无使用寿命不确定的无形资产。</w:t>
      </w:r>
    </w:p>
    <w:p>
      <w:pPr>
        <w:framePr w:w="3197" w:x="1798" w:y="94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内部研究开发支出会计政策</w:t>
      </w:r>
    </w:p>
    <w:p>
      <w:pPr>
        <w:framePr w:w="1817" w:x="1798" w:y="98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8" w:x="1798" w:y="1037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研究阶段：为获取并理解新的科学或技术知识等而进行的独创性的有计划调查、研究活动的</w:t>
      </w:r>
    </w:p>
    <w:p>
      <w:pPr>
        <w:framePr w:w="9068" w:x="1798" w:y="1037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阶段。</w:t>
      </w:r>
    </w:p>
    <w:p>
      <w:pPr>
        <w:framePr w:w="9068" w:x="1798" w:y="1130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开发阶段：在进行商业性生产或使用前，将研究成果或其他知识应用于某项计划或设计，以</w:t>
      </w:r>
    </w:p>
    <w:p>
      <w:pPr>
        <w:framePr w:w="9068" w:x="1798" w:y="1130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生产出新的或具有实质性改进的材料、装置、产品等活动的阶段。</w:t>
      </w:r>
    </w:p>
    <w:p>
      <w:pPr>
        <w:framePr w:w="7210" w:x="2218" w:y="12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内部研究开发项目研究阶段的支出，在发生时计入当期损益。</w:t>
      </w:r>
    </w:p>
    <w:p>
      <w:pPr>
        <w:framePr w:w="7210" w:x="2218" w:y="1224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内部研究开发项目开发阶段的支出，同时满足下列条件时确认为无形资产：</w:t>
      </w:r>
    </w:p>
    <w:p>
      <w:pPr>
        <w:framePr w:w="7210" w:x="2218" w:y="1224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）完成该无形资产以使其能够使用或出售在技术上具有可行性；</w:t>
      </w:r>
    </w:p>
    <w:p>
      <w:pPr>
        <w:framePr w:w="7210" w:x="2218" w:y="1224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）具有完成该无形资产并使用或出售的意图；</w:t>
      </w:r>
    </w:p>
    <w:p>
      <w:pPr>
        <w:framePr w:w="8794" w:x="2218" w:y="143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）无形资产产生经济利益的方式，包括能够证明运用该无形资产生产的产品存在市场或无</w:t>
      </w:r>
    </w:p>
    <w:p>
      <w:pPr>
        <w:framePr w:w="6787" w:x="1798" w:y="147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形资产自身存在市场，无形资产将在内部使用的，能够证明其有用性；</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58" type="#_x0000_t75" style="width:445.6pt;height:2.7pt;margin-top:53.65pt;margin-left:87.45pt;mso-position-horizontal-relative:page;mso-position-vertical-relative:page;position:absolute;z-index:-251392000">
            <v:imagedata r:id="rId186" o:title=""/>
          </v:shape>
        </w:pict>
      </w:r>
      <w:r>
        <w:rPr>
          <w:noProof/>
        </w:rPr>
        <w:pict>
          <v:shape id="_x0000_s1259" type="#_x0000_t75" style="width:423.75pt;height:88.3pt;margin-top:258.15pt;margin-left:88.2pt;mso-position-horizontal-relative:page;mso-position-vertical-relative:page;position:absolute;z-index:-251546624">
            <v:imagedata r:id="rId187" o:title=""/>
          </v:shape>
        </w:pict>
      </w:r>
    </w:p>
    <w:p>
      <w:pPr>
        <w:spacing w:line="0" w:lineRule="atLeast"/>
        <w:rPr>
          <w:rFonts w:ascii="Arial" w:eastAsiaTheme="minorEastAsia" w:hAnsiTheme="minorHAnsi" w:cstheme="minorBidi"/>
          <w:color w:val="FF0000"/>
          <w:sz w:val="2"/>
          <w:szCs w:val="22"/>
          <w:lang w:val="en-US" w:eastAsia="en-US" w:bidi="ar-SA"/>
        </w:rPr>
      </w:pPr>
      <w:bookmarkStart w:id="110" w:name="br1_109"/>
      <w:bookmarkEnd w:id="11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794"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）有足够的技术、财务资源和其他资源支持，以完成该无形资产的开发，并有能力使用或</w:t>
      </w:r>
    </w:p>
    <w:p>
      <w:pPr>
        <w:framePr w:w="1930"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出售该无形资产；</w:t>
      </w:r>
    </w:p>
    <w:p>
      <w:pPr>
        <w:framePr w:w="5626" w:x="221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）归属于该无形资产开发阶段的支出能够可靠地计量。</w:t>
      </w:r>
    </w:p>
    <w:p>
      <w:pPr>
        <w:framePr w:w="9110" w:x="1798" w:y="30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不满足上述条件的开发阶段的支出，于发生时计入当期损益。以前期间已计入损益的开发支</w:t>
      </w:r>
    </w:p>
    <w:p>
      <w:pPr>
        <w:framePr w:w="9110" w:x="1798" w:y="30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出不在以后期间重新确认为资产。已资本化的开发阶段的支出在资产负债表上列示为开发支出，</w:t>
      </w:r>
    </w:p>
    <w:p>
      <w:pPr>
        <w:framePr w:w="9110" w:x="1798" w:y="30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自该项目达到预定用途之日起转为无形资产。</w:t>
      </w:r>
    </w:p>
    <w:p>
      <w:pPr>
        <w:framePr w:w="1932" w:x="1798" w:y="43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30.</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长期资产减值</w:t>
      </w:r>
    </w:p>
    <w:p>
      <w:pPr>
        <w:framePr w:w="1922" w:x="1798" w:y="48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519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本公司在资产负债表日判断长期资产是否存在可能发生减值的迹象。如果长期资产存在减值</w:t>
      </w:r>
    </w:p>
    <w:p>
      <w:pPr>
        <w:framePr w:w="9110" w:x="1798" w:y="519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迹象的，以单项资产为基础估计其可收回金额；难以对单项资产的可收回金额进行估计的，以该</w:t>
      </w:r>
    </w:p>
    <w:p>
      <w:pPr>
        <w:framePr w:w="9110" w:x="1798" w:y="519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资产所属的资产组为基础确定资产组的可收回金额。</w:t>
      </w:r>
    </w:p>
    <w:p>
      <w:pPr>
        <w:framePr w:w="9068" w:x="1798" w:y="654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资产可收回金额的估计，根据其公允价值减去处置费用后的净额与资产预计未来现金流量的</w:t>
      </w:r>
    </w:p>
    <w:p>
      <w:pPr>
        <w:framePr w:w="9068" w:x="1798" w:y="65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现值两者之间较高者确定。</w:t>
      </w:r>
    </w:p>
    <w:p>
      <w:pPr>
        <w:framePr w:w="9110" w:x="1798" w:y="748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可收回金额的计量结果表明，长期资产的可收回金额低于其账面价值的，将长期资产的账面</w:t>
      </w:r>
    </w:p>
    <w:p>
      <w:pPr>
        <w:framePr w:w="9110" w:x="1798" w:y="748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价值减记至可收回金额，减记的金额确认为资产减值损失，计入当期损益，同时计提相应的资产</w:t>
      </w:r>
    </w:p>
    <w:p>
      <w:pPr>
        <w:framePr w:w="9110" w:x="1798" w:y="748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减值准备。资产减值损失一经确认，在以后会计期间不得转回。</w:t>
      </w:r>
    </w:p>
    <w:p>
      <w:pPr>
        <w:framePr w:w="9068" w:x="1798" w:y="88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资产减值损失确认后，减值资产的折旧或者摊销费用在未来期间作相应调整，以使该资产在</w:t>
      </w:r>
    </w:p>
    <w:p>
      <w:pPr>
        <w:framePr w:w="9068" w:x="1798" w:y="88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剩余使用寿命内，系统地分摊调整后的资产账面价值（扣除预计净残值）。</w:t>
      </w:r>
    </w:p>
    <w:p>
      <w:pPr>
        <w:framePr w:w="9068" w:x="1798" w:y="976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因企业合并所形成的商誉和使用寿命不确定的无形资产，无论是否存在减值迹象，每年都进</w:t>
      </w:r>
    </w:p>
    <w:p>
      <w:pPr>
        <w:framePr w:w="9068" w:x="1798" w:y="976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行减值测试。</w:t>
      </w:r>
    </w:p>
    <w:p>
      <w:pPr>
        <w:framePr w:w="9110" w:x="1798" w:y="107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在对商誉进行减值测试时，将商誉的账面价值分摊至预期从企业合并的协同效应中受益的资</w:t>
      </w:r>
    </w:p>
    <w:p>
      <w:pPr>
        <w:framePr w:w="9110" w:x="1798" w:y="107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产组或资产组组合。在对包含商誉的相关资产组或者资产组组合进行减值测试时，如与商誉相关</w:t>
      </w:r>
    </w:p>
    <w:p>
      <w:pPr>
        <w:framePr w:w="9110" w:x="1798" w:y="107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的资产组或者资产组组合存在减值迹象的，先对不包含商誉的资产组或者资产组组合进行减值测</w:t>
      </w:r>
    </w:p>
    <w:p>
      <w:pPr>
        <w:framePr w:w="9110" w:x="1798" w:y="107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试，计算可收回金额，并与相关账面价值相比较，确认相应的减值损失。再对包含商誉的资产组</w:t>
      </w:r>
    </w:p>
    <w:p>
      <w:pPr>
        <w:framePr w:w="9110" w:x="1798" w:y="10702"/>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或者资产组组合进行减值测试，比较这些相关资产组或者资产组组合的账面价值（包括所分摊的</w:t>
      </w:r>
    </w:p>
    <w:p>
      <w:pPr>
        <w:framePr w:w="9110" w:x="1798" w:y="107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商誉的账面价值部分）与其可收回金额，如相关资产组或者资产组组合的可收回金额低于其账面</w:t>
      </w:r>
    </w:p>
    <w:p>
      <w:pPr>
        <w:framePr w:w="9110" w:x="1798" w:y="107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价值的，确认商誉的减值损失。</w:t>
      </w:r>
    </w:p>
    <w:p>
      <w:pPr>
        <w:framePr w:w="1932" w:x="1798" w:y="136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长期待摊费用</w:t>
      </w:r>
    </w:p>
    <w:p>
      <w:pPr>
        <w:framePr w:w="1922" w:x="1798" w:y="14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2218" w:y="146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摊销方法</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0" type="#_x0000_t75" style="width:445.6pt;height:2.7pt;margin-top:53.65pt;margin-left:87.45pt;mso-position-horizontal-relative:page;mso-position-vertical-relative:page;position:absolute;z-index:-25154560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11" w:name="br1_110"/>
      <w:bookmarkEnd w:id="11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069"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长期待摊费用，是指本公司已经发生但应由本期和以后各期负担的分摊期限在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年以上的各</w:t>
      </w:r>
    </w:p>
    <w:p>
      <w:pPr>
        <w:framePr w:w="9069"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项费用。长期待摊费用在受益期内按直线法分期摊销。</w:t>
      </w:r>
    </w:p>
    <w:p>
      <w:pPr>
        <w:framePr w:w="9069" w:x="1798" w:y="1535"/>
        <w:widowControl w:val="0"/>
        <w:autoSpaceDE w:val="0"/>
        <w:autoSpaceDN w:val="0"/>
        <w:spacing w:before="197"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摊销年限</w:t>
      </w:r>
    </w:p>
    <w:p>
      <w:pPr>
        <w:framePr w:w="662" w:x="3195" w:y="28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6027" w:y="28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摊销年限</w:t>
      </w:r>
    </w:p>
    <w:p>
      <w:pPr>
        <w:framePr w:w="662" w:x="9050" w:y="28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p>
    <w:p>
      <w:pPr>
        <w:framePr w:w="1296" w:x="2878" w:y="32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房屋装修费</w:t>
      </w:r>
    </w:p>
    <w:p>
      <w:pPr>
        <w:framePr w:w="610" w:x="6265" w:y="32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4"/>
          <w:sz w:val="21"/>
          <w:szCs w:val="22"/>
          <w:lang w:val="en-US" w:eastAsia="en-US" w:bidi="ar-SA"/>
        </w:rPr>
        <w:t>5</w:t>
      </w:r>
      <w:r>
        <w:rPr>
          <w:rFonts w:ascii="SimSun" w:hAnsi="SimSun" w:eastAsiaTheme="minorEastAsia" w:cs="SimSun"/>
          <w:color w:val="000000"/>
          <w:sz w:val="21"/>
          <w:szCs w:val="22"/>
          <w:lang w:val="en-US" w:eastAsia="en-US" w:bidi="ar-SA"/>
        </w:rPr>
        <w:t>年</w:t>
      </w:r>
    </w:p>
    <w:p>
      <w:pPr>
        <w:framePr w:w="1507" w:x="8629" w:y="32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预计使用年限</w:t>
      </w:r>
    </w:p>
    <w:p>
      <w:pPr>
        <w:framePr w:w="1510" w:x="1798" w:y="3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合同负债</w:t>
      </w:r>
    </w:p>
    <w:p>
      <w:pPr>
        <w:framePr w:w="2568" w:x="1798" w:y="44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合同负债的确认方法</w:t>
      </w:r>
    </w:p>
    <w:p>
      <w:pPr>
        <w:framePr w:w="1817" w:x="1798" w:y="49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017" w:x="1798" w:y="54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本公司将已收或应收客户对价而应向客户转让商品的义务部分确认为合同负债。</w:t>
      </w:r>
    </w:p>
    <w:p>
      <w:pPr>
        <w:framePr w:w="8017" w:x="1798" w:y="54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33.</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职工薪酬</w:t>
      </w:r>
    </w:p>
    <w:p>
      <w:pPr>
        <w:framePr w:w="2988" w:x="1798" w:y="64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短期薪酬的会计处理方法</w:t>
      </w:r>
    </w:p>
    <w:p>
      <w:pPr>
        <w:framePr w:w="1922" w:x="1798" w:y="69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730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短期薪酬是指本公司在职工提供相关服务的年度报告期间结束后十二个月内需要全部予以支</w:t>
      </w:r>
    </w:p>
    <w:p>
      <w:pPr>
        <w:framePr w:w="9110" w:x="1798" w:y="73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付的职工薪酬，离职后福利和辞退福利除外。本公司在职工提供服务的会计期间，将应付的短期</w:t>
      </w:r>
    </w:p>
    <w:p>
      <w:pPr>
        <w:framePr w:w="9110" w:x="1798" w:y="73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薪酬确认为负债，并根据职工提供服务的受益对象计入相关资产成本和费用。</w:t>
      </w:r>
    </w:p>
    <w:p>
      <w:pPr>
        <w:framePr w:w="3197" w:x="1798" w:y="86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离职后福利的会计处理方法</w:t>
      </w:r>
    </w:p>
    <w:p>
      <w:pPr>
        <w:framePr w:w="1922" w:x="1798" w:y="91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8" w:x="1798" w:y="95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离职后福利是指本公司为获得职工提供的服务而在职工退休或与企业解除劳动关系后，提供</w:t>
      </w:r>
    </w:p>
    <w:p>
      <w:pPr>
        <w:framePr w:w="9068" w:x="1798" w:y="95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的各种形式的报酬和福利，短期薪酬和辞退福利除外。</w:t>
      </w:r>
    </w:p>
    <w:p>
      <w:pPr>
        <w:framePr w:w="6154" w:x="2218" w:y="105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本公司的离职后福利计划分类为设定提存计划和设定受益计划。</w:t>
      </w:r>
    </w:p>
    <w:p>
      <w:pPr>
        <w:framePr w:w="9110" w:x="1798" w:y="1103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离职后福利设定提存计划主要为参加由各地劳动及社会保障机构组织实施的社会基本养老保</w:t>
      </w:r>
    </w:p>
    <w:p>
      <w:pPr>
        <w:framePr w:w="9110" w:x="1798" w:y="1103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险、失业保险等。在职工为本公司提供服务的会计期间，将根据设定提存计划计算的应缴存金额</w:t>
      </w:r>
    </w:p>
    <w:p>
      <w:pPr>
        <w:framePr w:w="9110" w:x="1798" w:y="1103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确认为负债，并计入当期损益或相关资产成本。</w:t>
      </w:r>
    </w:p>
    <w:p>
      <w:pPr>
        <w:framePr w:w="7210" w:x="2218" w:y="123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本公司按照国家规定的标准定期缴付上述款项后，不再有其他的支付义务。</w:t>
      </w:r>
    </w:p>
    <w:p>
      <w:pPr>
        <w:framePr w:w="2988" w:x="1798" w:y="12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辞退福利的会计处理方法</w:t>
      </w:r>
    </w:p>
    <w:p>
      <w:pPr>
        <w:framePr w:w="1922" w:x="1798" w:y="13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383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辞退福利是指本公司在职工劳动合同到期之前解除与职工的劳动关系，或者为鼓励职工自愿</w:t>
      </w:r>
    </w:p>
    <w:p>
      <w:pPr>
        <w:framePr w:w="9110" w:x="1798" w:y="1383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接受裁减而给予职工的补偿，在本公司不能单方面撤回解除劳动关系计划或裁减建议时和确认与</w:t>
      </w:r>
    </w:p>
    <w:p>
      <w:pPr>
        <w:framePr w:w="9110" w:x="1798" w:y="1383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涉及支付辞退福利的重组相关的成本费用时两者孰早日，确认因解除与职工的劳动关系给予补偿</w:t>
      </w:r>
    </w:p>
    <w:p>
      <w:pPr>
        <w:framePr w:w="9110" w:x="1798" w:y="1383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而产生的负债，同时计入当期损益。</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1" type="#_x0000_t75" style="width:445.6pt;height:2.7pt;margin-top:53.65pt;margin-left:87.45pt;mso-position-horizontal-relative:page;mso-position-vertical-relative:page;position:absolute;z-index:-251390976">
            <v:imagedata r:id="rId188" o:title=""/>
          </v:shape>
        </w:pict>
      </w:r>
      <w:r>
        <w:rPr>
          <w:noProof/>
        </w:rPr>
        <w:pict>
          <v:shape id="_x0000_s1262" type="#_x0000_t75" style="width:423.75pt;height:45.2pt;margin-top:135.6pt;margin-left:98.5pt;mso-position-horizontal-relative:page;mso-position-vertical-relative:page;position:absolute;z-index:-251544576">
            <v:imagedata r:id="rId189" o:title=""/>
          </v:shape>
        </w:pict>
      </w:r>
    </w:p>
    <w:p>
      <w:pPr>
        <w:spacing w:line="0" w:lineRule="atLeast"/>
        <w:rPr>
          <w:rFonts w:ascii="Arial" w:eastAsiaTheme="minorEastAsia" w:hAnsiTheme="minorHAnsi" w:cstheme="minorBidi"/>
          <w:color w:val="FF0000"/>
          <w:sz w:val="2"/>
          <w:szCs w:val="22"/>
          <w:lang w:val="en-US" w:eastAsia="en-US" w:bidi="ar-SA"/>
        </w:rPr>
      </w:pPr>
      <w:bookmarkStart w:id="112" w:name="br1_111"/>
      <w:bookmarkEnd w:id="11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322"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本公司向接受内部退休安排的职工提供内退福利。内退福利是指，向未达到国家规定的退休</w:t>
      </w:r>
    </w:p>
    <w:p>
      <w:pPr>
        <w:framePr w:w="9322"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年龄、经本公司管理层批准自愿退出工作岗位的职工支付的工资及为其缴纳的社会保险费等。本</w:t>
      </w:r>
    </w:p>
    <w:p>
      <w:pPr>
        <w:framePr w:w="9322"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公司自内部退休安排开始之日起至职工达到正常退休年龄止，向内退职工支付内部退养福利。对</w:t>
      </w:r>
    </w:p>
    <w:p>
      <w:pPr>
        <w:framePr w:w="9322"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于内退福利，本公司比照辞退福利进行会计处理，在符合辞退福利相关确认条件时，将自职工停</w:t>
      </w:r>
    </w:p>
    <w:p>
      <w:pPr>
        <w:framePr w:w="9322"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止提供服务日至正常退休日期间拟支付的内退职工工资和缴纳的社会保险费等，确认为负债，一</w:t>
      </w:r>
    </w:p>
    <w:p>
      <w:pPr>
        <w:framePr w:w="9322"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次性计入当期损益。内退福利的精算假设变化及福利标准调整引起的差异于发生时计入当期损益。</w:t>
      </w:r>
    </w:p>
    <w:p>
      <w:pPr>
        <w:framePr w:w="3830" w:x="1798" w:y="41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其他长期职工福利的会计处理方法</w:t>
      </w:r>
    </w:p>
    <w:p>
      <w:pPr>
        <w:framePr w:w="1922" w:x="1798" w:y="44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266" w:x="2218" w:y="48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其他长期职工福利是指除短期薪酬、离职后福利、辞退福利之外的其他所有职工福利。</w:t>
      </w:r>
    </w:p>
    <w:p>
      <w:pPr>
        <w:framePr w:w="9110" w:x="1798" w:y="53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对符合设定提存计划条件的其他长期职工福利，在职工为本公司提供服务的会计期间，将应</w:t>
      </w:r>
    </w:p>
    <w:p>
      <w:pPr>
        <w:framePr w:w="9110" w:x="1798" w:y="53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缴存金额确认为负债，并计入当期损益或相关资产成本；除上述情形外的其他长期职工福利，在</w:t>
      </w:r>
    </w:p>
    <w:p>
      <w:pPr>
        <w:framePr w:w="9110" w:x="1798" w:y="53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资产负债表日将设定受益计划产生的福利义务归属于职工提供服务的期间，并计入当期损益或相</w:t>
      </w:r>
    </w:p>
    <w:p>
      <w:pPr>
        <w:framePr w:w="9110" w:x="1798" w:y="536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关资产成本。</w:t>
      </w:r>
    </w:p>
    <w:p>
      <w:pPr>
        <w:framePr w:w="1510" w:x="1798" w:y="71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租赁负债</w:t>
      </w:r>
    </w:p>
    <w:p>
      <w:pPr>
        <w:framePr w:w="1817" w:x="1798" w:y="76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80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预计负债</w:t>
      </w:r>
    </w:p>
    <w:p>
      <w:pPr>
        <w:framePr w:w="1922" w:x="1798" w:y="8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58" w:x="2218" w:y="89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．预计负债的确认标准</w:t>
      </w:r>
    </w:p>
    <w:p>
      <w:pPr>
        <w:framePr w:w="6787" w:x="2218" w:y="94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与或有事项相关的义务同时满足下列条件时，本公司确认为预计负债：</w:t>
      </w:r>
    </w:p>
    <w:p>
      <w:pPr>
        <w:framePr w:w="6787" w:x="2218" w:y="9485"/>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该义务是本公司承担的现时义务；</w:t>
      </w:r>
    </w:p>
    <w:p>
      <w:pPr>
        <w:framePr w:w="4464" w:x="2218" w:y="105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履行该义务很可能导致经济利益流出本公司；</w:t>
      </w:r>
    </w:p>
    <w:p>
      <w:pPr>
        <w:framePr w:w="4464" w:x="2218" w:y="1054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该义务的金额能够可靠地计量。</w:t>
      </w:r>
    </w:p>
    <w:p>
      <w:pPr>
        <w:framePr w:w="2458" w:x="2220" w:y="116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．预计负债的计量方法</w:t>
      </w:r>
    </w:p>
    <w:p>
      <w:pPr>
        <w:framePr w:w="7421" w:x="2218" w:y="121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本公司预计负债按履行相关现时义务所需的支出的最佳估计数进行初始计量。</w:t>
      </w:r>
    </w:p>
    <w:p>
      <w:pPr>
        <w:framePr w:w="9068" w:x="1798" w:y="1265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本公司在确定最佳估计数时，综合考虑与或有事项有关的风险、不确定性和货币时间价值等</w:t>
      </w:r>
    </w:p>
    <w:p>
      <w:pPr>
        <w:framePr w:w="9068" w:x="1798" w:y="1265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因素。对于货币时间价值影响重大的，通过对相关未来现金流出进行折现后确定最佳估计数。</w:t>
      </w:r>
    </w:p>
    <w:p>
      <w:pPr>
        <w:framePr w:w="3197" w:x="2218" w:y="135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最佳估计数分别以下情况处理：</w:t>
      </w:r>
    </w:p>
    <w:p>
      <w:pPr>
        <w:framePr w:w="9068" w:x="1798" w:y="141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所需支出存在一个连续范围（或区间），且该范围内各种结果发生的可能性相同的，则最佳</w:t>
      </w:r>
    </w:p>
    <w:p>
      <w:pPr>
        <w:framePr w:w="9068" w:x="1798" w:y="141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估计数按照该范围的中间值即上下限金额的平均数确定。</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3" type="#_x0000_t75" style="width:445.6pt;height:2.7pt;margin-top:53.65pt;margin-left:87.45pt;mso-position-horizontal-relative:page;mso-position-vertical-relative:page;position:absolute;z-index:-25154355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13" w:name="br1_112"/>
      <w:bookmarkEnd w:id="11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所需支出不存在一个连续范围（或区间），或虽然存在一个连续范围但该范围内各种结果发</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生的可能性不相同的，如或有事项涉及单个项目的，则最佳估计数按照最可能发生金额确定；如</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或有事项涉及多个项目的，则最佳估计数按各种可能结果及相关概率计算确定。</w:t>
      </w:r>
    </w:p>
    <w:p>
      <w:pPr>
        <w:framePr w:w="9068" w:x="1798" w:y="28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本公司清偿预计负债所需支出全部或部分预期由第三方补偿的，补偿金额在基本确定能够收</w:t>
      </w:r>
    </w:p>
    <w:p>
      <w:pPr>
        <w:framePr w:w="9068"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到时，作为资产单独确认，确认的补偿金额不超过预计负债的账面价值。</w:t>
      </w:r>
    </w:p>
    <w:p>
      <w:pPr>
        <w:framePr w:w="1510" w:x="1798" w:y="3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36.</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股份支付</w:t>
      </w:r>
    </w:p>
    <w:p>
      <w:pPr>
        <w:framePr w:w="1922" w:x="1798" w:y="43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35" w:x="2218" w:y="47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．股份支付的种类</w:t>
      </w:r>
    </w:p>
    <w:p>
      <w:pPr>
        <w:framePr w:w="6998" w:x="2218" w:y="52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本公司的股份支付分为以权益结算的股份支付和以现金结算的股份支付。</w:t>
      </w:r>
    </w:p>
    <w:p>
      <w:pPr>
        <w:framePr w:w="3302" w:x="2220" w:y="5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．权益工具公允价值的确定方法</w:t>
      </w:r>
    </w:p>
    <w:p>
      <w:pPr>
        <w:framePr w:w="9216" w:x="1798" w:y="632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对于授予的存在活跃市场的期权等权益工具，按照活跃市场中的报价确定其公允价值。对于</w:t>
      </w:r>
    </w:p>
    <w:p>
      <w:pPr>
        <w:framePr w:w="9216" w:x="1798" w:y="63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授予的不存在活跃市场的期权等权益工具，采用期权定价模型等确定其公允价值，选用的期权定</w:t>
      </w:r>
    </w:p>
    <w:p>
      <w:pPr>
        <w:framePr w:w="9216" w:x="1798" w:y="63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价模型考虑以下因素：（</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z w:val="21"/>
          <w:szCs w:val="22"/>
          <w:lang w:val="en-US" w:eastAsia="en-US" w:bidi="ar-SA"/>
        </w:rPr>
        <w:t>）期权的行权价格；（</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）期权的有效期；（</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）标的股份的现行价格；</w:t>
      </w:r>
    </w:p>
    <w:p>
      <w:pPr>
        <w:framePr w:w="9216" w:x="1798" w:y="63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）股价预计波动率；（</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）股份的预计股利；（</w:t>
      </w:r>
      <w:r>
        <w:rPr>
          <w:rFonts w:ascii="SimSun" w:eastAsiaTheme="minorEastAsia" w:hAnsiTheme="minorHAnsi" w:cstheme="minorBidi"/>
          <w:color w:val="000000"/>
          <w:spacing w:val="-2"/>
          <w:sz w:val="21"/>
          <w:szCs w:val="22"/>
          <w:lang w:val="en-US" w:eastAsia="en-US" w:bidi="ar-SA"/>
        </w:rPr>
        <w:t>6</w:t>
      </w:r>
      <w:r>
        <w:rPr>
          <w:rFonts w:ascii="SimSun" w:hAnsi="SimSun" w:eastAsiaTheme="minorEastAsia" w:cs="SimSun"/>
          <w:color w:val="000000"/>
          <w:sz w:val="21"/>
          <w:szCs w:val="22"/>
          <w:lang w:val="en-US" w:eastAsia="en-US" w:bidi="ar-SA"/>
        </w:rPr>
        <w:t>）期权有效期内的无风险利率。</w:t>
      </w:r>
    </w:p>
    <w:p>
      <w:pPr>
        <w:framePr w:w="9110" w:x="1798" w:y="808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在确定权益工具授予日的公允价值时，考虑股份支付协议规定的可行权条件中的市场条件和</w:t>
      </w:r>
    </w:p>
    <w:p>
      <w:pPr>
        <w:framePr w:w="9110" w:x="1798" w:y="808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非可行权条件的影响。股份支付存在非可行权条件的，只要职工或其他方满足了所有可行权条件</w:t>
      </w:r>
    </w:p>
    <w:p>
      <w:pPr>
        <w:framePr w:w="9110" w:x="1798" w:y="808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中的非市场条件（如服务期限等），即确认已得到服务相对应的成本费用。</w:t>
      </w:r>
    </w:p>
    <w:p>
      <w:pPr>
        <w:framePr w:w="3936" w:x="2220" w:y="9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．确定可行权权益工具最佳估计的依据</w:t>
      </w:r>
    </w:p>
    <w:p>
      <w:pPr>
        <w:framePr w:w="9184" w:x="1798" w:y="995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等待期内每个资产负债表日，根据最新取得的可行权职工人数变动等后续信息作出最佳估计，</w:t>
      </w:r>
    </w:p>
    <w:p>
      <w:pPr>
        <w:framePr w:w="9184" w:x="1798" w:y="995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修正预计可行权的权益工具数量。在可行权日，最终预计可行权权益工具的数量与实际可行权数</w:t>
      </w:r>
    </w:p>
    <w:p>
      <w:pPr>
        <w:framePr w:w="9184" w:x="1798" w:y="995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量一致。</w:t>
      </w:r>
    </w:p>
    <w:p>
      <w:pPr>
        <w:framePr w:w="1824" w:x="2220" w:y="11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．会计处理方法</w:t>
      </w:r>
    </w:p>
    <w:p>
      <w:pPr>
        <w:framePr w:w="9110" w:x="1798" w:y="118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以权益结算的股份支付，按授予职工权益工具的公允价值计量。授予后立即可行权的，在授</w:t>
      </w:r>
    </w:p>
    <w:p>
      <w:pPr>
        <w:framePr w:w="9110" w:x="1798" w:y="1182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予日按照权益工具的公允价值计入相关成本或费用，相应增加资本公积。在完成等待期内的服务</w:t>
      </w:r>
    </w:p>
    <w:p>
      <w:pPr>
        <w:framePr w:w="9110" w:x="1798" w:y="118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或达到规定业绩条件才可行权的，在等待期内的每个资产负债表日，以对可行权权益工具数量的</w:t>
      </w:r>
    </w:p>
    <w:p>
      <w:pPr>
        <w:framePr w:w="9110" w:x="1798" w:y="118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最佳估计为基础，按照权益工具授予日的公允价值，将当期取得的服务计入相关成本或费用和资</w:t>
      </w:r>
    </w:p>
    <w:p>
      <w:pPr>
        <w:framePr w:w="9110" w:x="1798" w:y="118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本公积。在可行权日之后不再对已确认的相关成本或费用和所有者权益总额进行调整。</w:t>
      </w:r>
    </w:p>
    <w:p>
      <w:pPr>
        <w:framePr w:w="9110" w:x="1798" w:y="1399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以现金结算的股份支付，按照本公司承担的以股份或其他权益工具为基础计算确定的负债的</w:t>
      </w:r>
    </w:p>
    <w:p>
      <w:pPr>
        <w:framePr w:w="9110" w:x="1798" w:y="1399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公允价值计量。授予后立即可行权的，在授予日以本公司承担负债的公允价值计入相关成本或费</w:t>
      </w:r>
    </w:p>
    <w:p>
      <w:pPr>
        <w:framePr w:w="9110" w:x="1798" w:y="139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用，相应增加负债。在完成等待期内的服务或达到规定业绩条件以后才可行权的以现金结算的股</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4" type="#_x0000_t75" style="width:445.6pt;height:2.7pt;margin-top:53.65pt;margin-left:87.45pt;mso-position-horizontal-relative:page;mso-position-vertical-relative:page;position:absolute;z-index:-25154252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14" w:name="br1_113"/>
      <w:bookmarkEnd w:id="11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份支付，在等待期内的每个资产负债表日，以对可行权情况的最佳估计为基础，按照本公司承担</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负债的公允价值金额，将当期取得的服务计入成本或费用和相应的负债。在相关负债结算前的每</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个资产负债表日以及结算日，对负债的公允价值重新计量，其变动计入当期损益。</w:t>
      </w:r>
    </w:p>
    <w:p>
      <w:pPr>
        <w:framePr w:w="9184" w:x="1798" w:y="28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若在等待期内取消了授予的权益工具，本公司对取消所授予的权益性工具作为加速行权处理，</w:t>
      </w:r>
    </w:p>
    <w:p>
      <w:pPr>
        <w:framePr w:w="9184"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将剩余等待期内应确认的金额立即计入当期损益，同时确认资本公积。职工或其他方能够选择满</w:t>
      </w:r>
    </w:p>
    <w:p>
      <w:pPr>
        <w:framePr w:w="9184" w:x="1798" w:y="28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足非可行权条件但在等待期内未满足的，本公司将其作为授予权益工具的取消处理。</w:t>
      </w:r>
    </w:p>
    <w:p>
      <w:pPr>
        <w:framePr w:w="3617" w:x="1798" w:y="4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优先股、永续债等其他金融工具</w:t>
      </w:r>
    </w:p>
    <w:p>
      <w:pPr>
        <w:framePr w:w="1922" w:x="1798" w:y="47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51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38.</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收入</w:t>
      </w:r>
    </w:p>
    <w:p>
      <w:pPr>
        <w:framePr w:w="3830" w:x="1798" w:y="56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收入确认和计量所采用的会计政策</w:t>
      </w:r>
    </w:p>
    <w:p>
      <w:pPr>
        <w:framePr w:w="1817" w:x="1798" w:y="62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58" w:x="2218" w:y="6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．收入确认的一般原则</w:t>
      </w:r>
    </w:p>
    <w:p>
      <w:pPr>
        <w:framePr w:w="9068" w:x="1798" w:y="71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本公司在履行了合同中的履约义务，即在客户取得相关商品或服务控制权时，按照分摊至该</w:t>
      </w:r>
    </w:p>
    <w:p>
      <w:pPr>
        <w:framePr w:w="9068" w:x="1798" w:y="71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项履约义务的交易价格确认收入。</w:t>
      </w:r>
    </w:p>
    <w:p>
      <w:pPr>
        <w:framePr w:w="6998" w:x="2218" w:y="8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履约义务，是指合同中本公司向客户转让可明确区分商品或服务的承诺。</w:t>
      </w:r>
    </w:p>
    <w:p>
      <w:pPr>
        <w:framePr w:w="8054" w:x="2218" w:y="85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取得相关商品控制权，是指能够主导该商品的使用并从中获得几乎全部的经济利益。</w:t>
      </w:r>
    </w:p>
    <w:p>
      <w:pPr>
        <w:framePr w:w="9322" w:x="1798" w:y="912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本公司在合同开始日即对合同进行评估，识别该合同所包含的各单项履约义务，并确定各单</w:t>
      </w:r>
    </w:p>
    <w:p>
      <w:pPr>
        <w:framePr w:w="9322" w:x="1798" w:y="912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项履约义务是在某一时段内履行，还是某一时点履行。满足下列条件之一的，属于在某一时间段</w:t>
      </w:r>
    </w:p>
    <w:p>
      <w:pPr>
        <w:framePr w:w="9322" w:x="1798" w:y="912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内履行的履约义务，本公司按照履约进度，在一段时间内确认收入：</w:t>
      </w:r>
      <w:r>
        <w:rPr>
          <w:rFonts w:ascii="SimSun" w:eastAsiaTheme="minorEastAsia" w:hAnsiTheme="minorHAnsi" w:cstheme="minorBidi"/>
          <w:color w:val="000000"/>
          <w:sz w:val="21"/>
          <w:szCs w:val="22"/>
          <w:lang w:val="en-US" w:eastAsia="en-US" w:bidi="ar-SA"/>
        </w:rPr>
        <w:t>(1)</w:t>
      </w:r>
      <w:r>
        <w:rPr>
          <w:rFonts w:ascii="SimSun" w:hAnsi="SimSun" w:eastAsiaTheme="minorEastAsia" w:cs="SimSun"/>
          <w:color w:val="000000"/>
          <w:sz w:val="21"/>
          <w:szCs w:val="22"/>
          <w:lang w:val="en-US" w:eastAsia="en-US" w:bidi="ar-SA"/>
        </w:rPr>
        <w:t>客户在本公司履约的同时</w:t>
      </w:r>
    </w:p>
    <w:p>
      <w:pPr>
        <w:framePr w:w="9322" w:x="1798" w:y="9121"/>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即取得并消耗本公司履约所带来的经济利益；</w:t>
      </w:r>
      <w:r>
        <w:rPr>
          <w:rFonts w:ascii="SimSun" w:eastAsiaTheme="minorEastAsia" w:hAnsiTheme="minorHAnsi" w:cstheme="minorBidi"/>
          <w:color w:val="000000"/>
          <w:sz w:val="21"/>
          <w:szCs w:val="22"/>
          <w:lang w:val="en-US" w:eastAsia="en-US" w:bidi="ar-SA"/>
        </w:rPr>
        <w:t>(2)</w:t>
      </w:r>
      <w:r>
        <w:rPr>
          <w:rFonts w:ascii="SimSun" w:hAnsi="SimSun" w:eastAsiaTheme="minorEastAsia" w:cs="SimSun"/>
          <w:color w:val="000000"/>
          <w:sz w:val="21"/>
          <w:szCs w:val="22"/>
          <w:lang w:val="en-US" w:eastAsia="en-US" w:bidi="ar-SA"/>
        </w:rPr>
        <w:t>客户能够控制本公司履约过程中在建的商品；</w:t>
      </w:r>
      <w:r>
        <w:rPr>
          <w:rFonts w:ascii="SimSun" w:eastAsiaTheme="minorEastAsia" w:hAnsiTheme="minorHAnsi" w:cstheme="minorBidi"/>
          <w:color w:val="000000"/>
          <w:spacing w:val="-1"/>
          <w:sz w:val="21"/>
          <w:szCs w:val="22"/>
          <w:lang w:val="en-US" w:eastAsia="en-US" w:bidi="ar-SA"/>
        </w:rPr>
        <w:t>(3)</w:t>
      </w:r>
    </w:p>
    <w:p>
      <w:pPr>
        <w:framePr w:w="9322" w:x="1798" w:y="912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本公司履约过程中所产出的商品具有不可替代用途，且本公司在整个合同期间内有权就累计至今</w:t>
      </w:r>
    </w:p>
    <w:p>
      <w:pPr>
        <w:framePr w:w="9322" w:x="1798" w:y="912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已完成的履约部分收取款项。否则，本公司在客户取得相关商品或服务控制权的时点确认收入。</w:t>
      </w:r>
    </w:p>
    <w:p>
      <w:pPr>
        <w:framePr w:w="9110" w:x="1798" w:y="1169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对于在某一时段内履行的履约义务，本公司根据商品和劳务的性质，采用产出法</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投入法确定</w:t>
      </w:r>
    </w:p>
    <w:p>
      <w:pPr>
        <w:framePr w:w="9110" w:x="1798" w:y="116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恰当的履约进度。产出法是根据已转移给客户的商品对于客户的价值确定履约进度（投入法是根</w:t>
      </w:r>
    </w:p>
    <w:p>
      <w:pPr>
        <w:framePr w:w="9110" w:x="1798" w:y="116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据公司为履行履约义务的投入确定履约进度）。当履约进度不能合理确定时，公司已经发生的成</w:t>
      </w:r>
    </w:p>
    <w:p>
      <w:pPr>
        <w:framePr w:w="9110" w:x="1798" w:y="116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本预计能够得到补偿的，按照已经发生的成本金额确认收入，直到履约进度能够合理确定为止。</w:t>
      </w:r>
    </w:p>
    <w:p>
      <w:pPr>
        <w:framePr w:w="2458" w:x="2220" w:y="13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．收入确认的具体方法</w:t>
      </w:r>
    </w:p>
    <w:p>
      <w:pPr>
        <w:framePr w:w="3514" w:x="2218" w:y="139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）国内销售收入确认的具体原则</w:t>
      </w:r>
    </w:p>
    <w:p>
      <w:pPr>
        <w:framePr w:w="9110" w:x="1798" w:y="145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本公司国内销售产品包括原药、大包装制剂和小包装制剂。原药和大包装制剂采取直销模式，</w:t>
      </w:r>
    </w:p>
    <w:p>
      <w:pPr>
        <w:framePr w:w="9110" w:x="1798" w:y="145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属于在某一时点履行的履约义务，本公司在发出货物、经客户收货验收，已收取价款或取得收款</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5" type="#_x0000_t75" style="width:445.6pt;height:2.7pt;margin-top:53.65pt;margin-left:87.45pt;mso-position-horizontal-relative:page;mso-position-vertical-relative:page;position:absolute;z-index:-25154150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15" w:name="br1_114"/>
      <w:bookmarkEnd w:id="11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权利且相关的经济利益很可能流入时确认销售收入；小包装制剂主要采取代销模式，属于在某一</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时点履行的履约义务，本公司在取得经销商的代销清单，已收取价款或取得收款权利且相关的经</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济利益很可能流入时确认销售收入。</w:t>
      </w:r>
    </w:p>
    <w:p>
      <w:pPr>
        <w:framePr w:w="3514" w:x="2218" w:y="28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）出口销售收入确认的具体原则</w:t>
      </w:r>
    </w:p>
    <w:p>
      <w:pPr>
        <w:framePr w:w="3514" w:x="2218" w:y="288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）直接出口业务</w:t>
      </w:r>
    </w:p>
    <w:p>
      <w:pPr>
        <w:framePr w:w="9184" w:x="1798" w:y="39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直接出口业务属于在某一时点履行的履约义务，根据公司与客户签订的产品销售合同或订单，</w:t>
      </w:r>
    </w:p>
    <w:p>
      <w:pPr>
        <w:framePr w:w="9184" w:x="1798" w:y="393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公司直接出口主要采取</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C&amp;F</w:t>
      </w:r>
      <w:r>
        <w:rPr>
          <w:rFonts w:ascii="SimSun" w:hAnsi="SimSun" w:eastAsiaTheme="minorEastAsia" w:cs="SimSun"/>
          <w:color w:val="000000"/>
          <w:spacing w:val="-30"/>
          <w:sz w:val="21"/>
          <w:szCs w:val="22"/>
          <w:lang w:val="en-US" w:eastAsia="en-US" w:bidi="ar-SA"/>
        </w:rPr>
        <w:t>、</w:t>
      </w:r>
      <w:r>
        <w:rPr>
          <w:rFonts w:ascii="SimSun" w:eastAsiaTheme="minorEastAsia" w:hAnsiTheme="minorHAnsi" w:cstheme="minorBidi"/>
          <w:color w:val="000000"/>
          <w:sz w:val="21"/>
          <w:szCs w:val="22"/>
          <w:lang w:val="en-US" w:eastAsia="en-US" w:bidi="ar-SA"/>
        </w:rPr>
        <w:t>FOB</w:t>
      </w:r>
      <w:r>
        <w:rPr>
          <w:rFonts w:ascii="SimSun" w:hAnsi="SimSun" w:eastAsiaTheme="minorEastAsia" w:cs="SimSun"/>
          <w:color w:val="000000"/>
          <w:spacing w:val="-2"/>
          <w:sz w:val="21"/>
          <w:szCs w:val="22"/>
          <w:lang w:val="en-US" w:eastAsia="en-US" w:bidi="ar-SA"/>
        </w:rPr>
        <w:t>等方式，在商品报关出口并取得出口装船提单，已收取货款或取</w:t>
      </w:r>
    </w:p>
    <w:p>
      <w:pPr>
        <w:framePr w:w="9184" w:x="1798" w:y="39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得了收款权力且相关的经济利益很可能流入时确认销售收入。</w:t>
      </w:r>
    </w:p>
    <w:p>
      <w:pPr>
        <w:framePr w:w="1824" w:x="2218" w:y="52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）间接出口业务</w:t>
      </w:r>
    </w:p>
    <w:p>
      <w:pPr>
        <w:framePr w:w="9110" w:x="1798" w:y="58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间接出口业务是境内进出口贸易商根据自己的意愿采购公司产品，并自主出口，属于在某一</w:t>
      </w:r>
    </w:p>
    <w:p>
      <w:pPr>
        <w:framePr w:w="9110" w:x="1798" w:y="58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时点履行的履约义务，本公司在发出货物、进出口贸易商收货验收，已收取价款或取得收款权利</w:t>
      </w:r>
    </w:p>
    <w:p>
      <w:pPr>
        <w:framePr w:w="9110" w:x="1798" w:y="58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且相关的经济利益很可能流入时确认销售收入。</w:t>
      </w:r>
    </w:p>
    <w:p>
      <w:pPr>
        <w:framePr w:w="6787" w:x="1798" w:y="71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同类业务采用不同经营模式导致收入确认会计政策存在差异的情况</w:t>
      </w:r>
    </w:p>
    <w:p>
      <w:pPr>
        <w:framePr w:w="1817" w:x="1798" w:y="76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80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39.</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合同成本</w:t>
      </w:r>
    </w:p>
    <w:p>
      <w:pPr>
        <w:framePr w:w="1817" w:x="1798" w:y="86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18" w:x="2218" w:y="90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合同履约成本</w:t>
      </w:r>
    </w:p>
    <w:p>
      <w:pPr>
        <w:framePr w:w="9068" w:x="1798" w:y="953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本公司对于为履行合同发生的成本，不属于除收入准则外的其他企业会计准则范围且同时满</w:t>
      </w:r>
    </w:p>
    <w:p>
      <w:pPr>
        <w:framePr w:w="9068" w:x="1798" w:y="95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足下列条件的作为合同履约成本确认为一项资产：</w:t>
      </w:r>
    </w:p>
    <w:p>
      <w:pPr>
        <w:framePr w:w="9005" w:x="2218" w:y="104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7"/>
          <w:sz w:val="21"/>
          <w:szCs w:val="22"/>
          <w:lang w:val="en-US" w:eastAsia="en-US" w:bidi="ar-SA"/>
        </w:rPr>
        <w:t>）该成本与一份当前或预期取得的合同直接相关，包括直接人工、直接材料、制造费用（或</w:t>
      </w:r>
    </w:p>
    <w:p>
      <w:pPr>
        <w:framePr w:w="6998" w:x="1798" w:y="10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类似费用）、明确由客户承担的成本以及仅因该合同而发生的其他成本；</w:t>
      </w:r>
    </w:p>
    <w:p>
      <w:pPr>
        <w:framePr w:w="5414" w:x="2218" w:y="114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）该成本增加了企业未来用于履行履约义务的资源。</w:t>
      </w:r>
    </w:p>
    <w:p>
      <w:pPr>
        <w:framePr w:w="5414" w:x="2218" w:y="11403"/>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）该成本预期能够收回。</w:t>
      </w:r>
    </w:p>
    <w:p>
      <w:pPr>
        <w:framePr w:w="9068" w:x="1798" w:y="124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该资产根据其初始确认时摊销期限是否超过一个正常营业周期在存货或其他非流动资产中列</w:t>
      </w:r>
    </w:p>
    <w:p>
      <w:pPr>
        <w:framePr w:w="9068" w:x="1798" w:y="124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w:t>
      </w:r>
    </w:p>
    <w:p>
      <w:pPr>
        <w:framePr w:w="1718" w:x="2220" w:y="133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合同取得成本</w:t>
      </w:r>
    </w:p>
    <w:p>
      <w:pPr>
        <w:framePr w:w="9110" w:x="1798" w:y="1392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本公司为取得合同发生的增量成本预期能够收回的，作为合同取得成本确认为一项资产。增</w:t>
      </w:r>
    </w:p>
    <w:p>
      <w:pPr>
        <w:framePr w:w="9110" w:x="1798" w:y="139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量成本是指本公司不取得合同就不会发生的成本，如销售佣金等。对于摊销期限不超过一年的，</w:t>
      </w:r>
    </w:p>
    <w:p>
      <w:pPr>
        <w:framePr w:w="9110" w:x="1798" w:y="1392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在发生时计入当期损益。</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6" type="#_x0000_t75" style="width:445.6pt;height:2.7pt;margin-top:53.65pt;margin-left:87.45pt;mso-position-horizontal-relative:page;mso-position-vertical-relative:page;position:absolute;z-index:-25154048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16" w:name="br1_115"/>
      <w:bookmarkEnd w:id="11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718" w:x="2220"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合同成本摊销</w:t>
      </w:r>
    </w:p>
    <w:p>
      <w:pPr>
        <w:framePr w:w="9068" w:x="1798" w:y="20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上述与合同成本有关的资产，采用与该资产相关的商品或服务收入确认相同的基础，在履约</w:t>
      </w:r>
    </w:p>
    <w:p>
      <w:pPr>
        <w:framePr w:w="9068"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义务履行的时点或按照履约义务的履约进度进行摊销，计入当期损益。</w:t>
      </w:r>
    </w:p>
    <w:p>
      <w:pPr>
        <w:framePr w:w="1718" w:x="2220" w:y="30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合同成本减值</w:t>
      </w:r>
    </w:p>
    <w:p>
      <w:pPr>
        <w:framePr w:w="9110" w:x="1798" w:y="353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上述与合同成本有关的资产，账面价值高于本公司因转让与该资产相关的商品预期能够取得</w:t>
      </w:r>
    </w:p>
    <w:p>
      <w:pPr>
        <w:framePr w:w="9110" w:x="1798" w:y="353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剩余对价与为转让该相关商品估计将要发生的成本的差额的，超出部分应当计提减值准备，并确</w:t>
      </w:r>
    </w:p>
    <w:p>
      <w:pPr>
        <w:framePr w:w="9110" w:x="1798" w:y="353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认为资产减值损失。</w:t>
      </w:r>
    </w:p>
    <w:p>
      <w:pPr>
        <w:framePr w:w="9110" w:x="1798" w:y="48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计提减值准备后，如果以前期间减值的因素发生变化，使得上述两项差额高于该资产账面价</w:t>
      </w:r>
    </w:p>
    <w:p>
      <w:pPr>
        <w:framePr w:w="9110" w:x="1798" w:y="48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值的，转回原已计提的资产减值准备，并计入当期损益，但转回后的资产账面价值不超过假定不</w:t>
      </w:r>
    </w:p>
    <w:p>
      <w:pPr>
        <w:framePr w:w="9110" w:x="1798" w:y="48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计提减值准备情况下该资产在转回日的账面价值。</w:t>
      </w:r>
    </w:p>
    <w:p>
      <w:pPr>
        <w:framePr w:w="1510" w:x="1798" w:y="6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40.</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政府补助</w:t>
      </w:r>
    </w:p>
    <w:p>
      <w:pPr>
        <w:framePr w:w="1817" w:x="1798" w:y="6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79" w:x="2218" w:y="71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．类型</w:t>
      </w:r>
    </w:p>
    <w:p>
      <w:pPr>
        <w:framePr w:w="9068" w:x="1798" w:y="767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政府补助，是本公司从政府无偿取得的货币性资产与非货币性资产。根据相关政府文件规定</w:t>
      </w:r>
    </w:p>
    <w:p>
      <w:pPr>
        <w:framePr w:w="9068" w:x="1798" w:y="767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的补助对象，将政府补助划分为与资产相关的政府补助和与收益相关的政府补助。</w:t>
      </w:r>
    </w:p>
    <w:p>
      <w:pPr>
        <w:framePr w:w="9216" w:x="1798" w:y="860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对于政府文件未明确补助对象的政府补助，公司根据实际补助对象划分为与资产相关的政府</w:t>
      </w:r>
    </w:p>
    <w:p>
      <w:pPr>
        <w:framePr w:w="9216" w:x="1798" w:y="86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补助或与收益相关的政府补助，相关判断依据说明详见本财务报表附注六之递延收益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营业外收入</w:t>
      </w:r>
    </w:p>
    <w:p>
      <w:pPr>
        <w:framePr w:w="9216" w:x="1798" w:y="86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项目注释。</w:t>
      </w:r>
    </w:p>
    <w:p>
      <w:pPr>
        <w:framePr w:w="9068" w:x="1798" w:y="995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与资产相关的政府补助，是指本公司取得的、用于购建或以其他方式形成长期资产的政府补</w:t>
      </w:r>
    </w:p>
    <w:p>
      <w:pPr>
        <w:framePr w:w="9068" w:x="1798" w:y="995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助。与收益相关的政府补助，是指除与资产相关的政府补助之外的政府补助。</w:t>
      </w:r>
    </w:p>
    <w:p>
      <w:pPr>
        <w:framePr w:w="2035" w:x="2220" w:y="108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．政府补助的确认</w:t>
      </w:r>
    </w:p>
    <w:p>
      <w:pPr>
        <w:framePr w:w="9068" w:x="1798" w:y="1142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对期末有证据表明公司能够符合财政扶持政策规定的相关条件且预计能够收到财政扶持资金</w:t>
      </w:r>
    </w:p>
    <w:p>
      <w:pPr>
        <w:framePr w:w="9068" w:x="1798" w:y="114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的，按应收金额确认政府补助。除此之外，政府补助均在实际收到时确认。</w:t>
      </w:r>
    </w:p>
    <w:p>
      <w:pPr>
        <w:framePr w:w="9068" w:x="1798" w:y="1235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政府补助为货币性资产的，按照收到或应收的金额计量。政府补助为非货币性资产的，按照</w:t>
      </w:r>
    </w:p>
    <w:p>
      <w:pPr>
        <w:framePr w:w="9068" w:x="1798" w:y="1235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公允价值计量；公允价值不能够可靠取得的，按照名义金额（人民币</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元）计量。按照名义金额</w:t>
      </w:r>
    </w:p>
    <w:p>
      <w:pPr>
        <w:framePr w:w="9068" w:x="1798" w:y="1235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计量的政府补助，直接计入当期损益。</w:t>
      </w:r>
    </w:p>
    <w:p>
      <w:pPr>
        <w:framePr w:w="1824" w:x="2220" w:y="137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．会计处理方法</w:t>
      </w:r>
    </w:p>
    <w:p>
      <w:pPr>
        <w:framePr w:w="9110" w:x="1798" w:y="1423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本公司根据经济业务的实质，确定某一类政府补助业务应当采用总额法还是净额法进行会计</w:t>
      </w:r>
    </w:p>
    <w:p>
      <w:pPr>
        <w:framePr w:w="9110" w:x="1798" w:y="1423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处理。通常情况下，本公司对于同类或类似政府补助业务只选用一种方法，且对该业务一贯地运</w:t>
      </w:r>
    </w:p>
    <w:p>
      <w:pPr>
        <w:framePr w:w="9110" w:x="1798" w:y="142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用该方法。</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7" type="#_x0000_t75" style="width:445.6pt;height:2.7pt;margin-top:53.65pt;margin-left:87.45pt;mso-position-horizontal-relative:page;mso-position-vertical-relative:page;position:absolute;z-index:-25153945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17" w:name="br1_116"/>
      <w:bookmarkEnd w:id="11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322"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与资产相关的政府补助，应当冲减相关资产的账面价值或确认为递延收益。与资产相关的政</w:t>
      </w:r>
    </w:p>
    <w:p>
      <w:pPr>
        <w:framePr w:w="9322"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府补助确认为递延收益的，在所建造或购买资产使用寿命内按照合理、系统的方法分期计入损益。</w:t>
      </w:r>
    </w:p>
    <w:p>
      <w:pPr>
        <w:framePr w:w="9110" w:x="1798" w:y="24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与收益相关的政府补助，用于补偿企业以后期间的相关费用或损失的，确认为递延收益，在</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确认相关费用或损失的期间计入当期损益或冲减相关成本；用于补偿企业已发生的相关费用或损</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失的，取得时直接计入当期损益或冲减相关成本。</w:t>
      </w:r>
    </w:p>
    <w:p>
      <w:pPr>
        <w:framePr w:w="9068" w:x="1798" w:y="38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与企业日常活动相关的政府补助计入其他收益或冲减相关成本费用；与企业日常活动无关的</w:t>
      </w:r>
    </w:p>
    <w:p>
      <w:pPr>
        <w:framePr w:w="9068" w:x="1798" w:y="381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政府补助计入营业外收支。</w:t>
      </w:r>
    </w:p>
    <w:p>
      <w:pPr>
        <w:framePr w:w="9110" w:x="1798" w:y="475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收到与政策性优惠贷款贴息相关的政府补助冲减相关借款费用；取得贷款银行提供的政策性</w:t>
      </w:r>
    </w:p>
    <w:p>
      <w:pPr>
        <w:framePr w:w="9110" w:x="1798" w:y="47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优惠利率贷款的，以实际收到的借款金额作为借款的入账价值，按照借款本金和该政策性优惠利</w:t>
      </w:r>
    </w:p>
    <w:p>
      <w:pPr>
        <w:framePr w:w="9110" w:x="1798" w:y="47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率计算相关借款费用。</w:t>
      </w:r>
    </w:p>
    <w:p>
      <w:pPr>
        <w:framePr w:w="9110" w:x="1798" w:y="610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已确认的政府补助需要返还时，初始确认时冲减相关资产账面价值的，调整资产账面价值；</w:t>
      </w:r>
    </w:p>
    <w:p>
      <w:pPr>
        <w:framePr w:w="9110" w:x="1798" w:y="61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存在相关递延收益余额的，冲减相关递延收益账面余额，超出部分计入当期损益；不存在相关递</w:t>
      </w:r>
    </w:p>
    <w:p>
      <w:pPr>
        <w:framePr w:w="9110" w:x="1798" w:y="61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延收益的，直接计入当期损益。</w:t>
      </w:r>
    </w:p>
    <w:p>
      <w:pPr>
        <w:framePr w:w="3709" w:x="1798" w:y="742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41.</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递延所得税资产</w:t>
      </w: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递延所得税负债</w:t>
      </w:r>
    </w:p>
    <w:p>
      <w:pPr>
        <w:framePr w:w="1922" w:x="1798" w:y="7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216" w:x="1798" w:y="83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递延所得税资产和递延所得税负债根据资产和负债的计税基础与其账面价值的差额</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暂时性</w:t>
      </w:r>
    </w:p>
    <w:p>
      <w:pPr>
        <w:framePr w:w="9216" w:x="1798" w:y="83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差异</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2"/>
          <w:sz w:val="21"/>
          <w:szCs w:val="22"/>
          <w:lang w:val="en-US" w:eastAsia="en-US" w:bidi="ar-SA"/>
        </w:rPr>
        <w:t>计算确认。于资产负债表日，递延所得税资产和递延所得税负债，按照预期收回该资产或清</w:t>
      </w:r>
    </w:p>
    <w:p>
      <w:pPr>
        <w:framePr w:w="9216" w:x="1798" w:y="83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偿该负债期间的适用税率计量。</w:t>
      </w:r>
    </w:p>
    <w:p>
      <w:pPr>
        <w:framePr w:w="3091" w:x="2220" w:y="97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．确认递延所得税资产的依据</w:t>
      </w:r>
    </w:p>
    <w:p>
      <w:pPr>
        <w:framePr w:w="9216" w:x="1798" w:y="1024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本公司以很可能取得用来抵扣可抵扣暂时性差异、能够结转以后年度的可抵扣亏损和税款抵</w:t>
      </w:r>
    </w:p>
    <w:p>
      <w:pPr>
        <w:framePr w:w="9216" w:x="1798" w:y="1024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减的应纳税所得额为限，确认由可抵扣暂时性差异产生的递延所得税资产。但是，同时具有下列</w:t>
      </w:r>
    </w:p>
    <w:p>
      <w:pPr>
        <w:framePr w:w="9216" w:x="1798" w:y="1024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特征的交易中因资产或负债的初始确认所产生的递延所得税资产不予确认：（</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4"/>
          <w:sz w:val="21"/>
          <w:szCs w:val="22"/>
          <w:lang w:val="en-US" w:eastAsia="en-US" w:bidi="ar-SA"/>
        </w:rPr>
        <w:t>）该交易不是企业</w:t>
      </w:r>
    </w:p>
    <w:p>
      <w:pPr>
        <w:framePr w:w="9216" w:x="1798" w:y="1024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）交易发生时既不影响会计利润也不影响应纳税所得额或可抵扣亏损。</w:t>
      </w:r>
    </w:p>
    <w:p>
      <w:pPr>
        <w:framePr w:w="9110" w:x="1798" w:y="119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对于与联营企业投资相关的可抵扣暂时性差异，同时满足下列条件的，确认相应的递延所得</w:t>
      </w:r>
    </w:p>
    <w:p>
      <w:pPr>
        <w:framePr w:w="9110" w:x="1798" w:y="119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税资产：暂时性差异在可预见的未来很可能转回，且未来很可能获得用来抵扣可抵扣暂时性差异</w:t>
      </w:r>
    </w:p>
    <w:p>
      <w:pPr>
        <w:framePr w:w="9110" w:x="1798" w:y="119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的应纳税所得额。</w:t>
      </w:r>
    </w:p>
    <w:p>
      <w:pPr>
        <w:framePr w:w="3091" w:x="2220" w:y="133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．确认递延所得税负债的依据</w:t>
      </w:r>
    </w:p>
    <w:p>
      <w:pPr>
        <w:framePr w:w="8477" w:x="2218" w:y="138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公司将当期与以前期间应交未交的应纳税暂时性差异确认为递延所得税负债。但不包括：</w:t>
      </w:r>
    </w:p>
    <w:p>
      <w:pPr>
        <w:framePr w:w="8477" w:x="2218" w:y="1387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）商誉的初始确认所形成的暂时性差异；</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8" type="#_x0000_t75" style="width:445.6pt;height:2.7pt;margin-top:53.65pt;margin-left:87.45pt;mso-position-horizontal-relative:page;mso-position-vertical-relative:page;position:absolute;z-index:-25153843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18" w:name="br1_117"/>
      <w:bookmarkEnd w:id="11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794"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）非企业合并形成的交易或事项，且该交易或事项发生时既不影响会计利润，也不影响应</w:t>
      </w:r>
    </w:p>
    <w:p>
      <w:pPr>
        <w:framePr w:w="5098"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纳税所得额（或可抵扣亏损）所形成的暂时性差异；</w:t>
      </w:r>
    </w:p>
    <w:p>
      <w:pPr>
        <w:framePr w:w="8794" w:x="221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）对于与子公司、联营企业投资相关的应纳税暂时性差异，该暂时性差异转回的时间能够</w:t>
      </w:r>
    </w:p>
    <w:p>
      <w:pPr>
        <w:framePr w:w="5520" w:x="1798" w:y="28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控制并且该暂时性差异在可预见的未来很可能不会转回。</w:t>
      </w:r>
    </w:p>
    <w:p>
      <w:pPr>
        <w:framePr w:w="7949" w:x="2218"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．同时满足下列条件时，将递延所得税资产及递延所得税负债以抵销后的净额列示</w:t>
      </w:r>
    </w:p>
    <w:p>
      <w:pPr>
        <w:framePr w:w="7949" w:x="2218" w:y="341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）企业拥有以净额结算当期所得税资产及当期所得税负债的法定权利；</w:t>
      </w:r>
    </w:p>
    <w:p>
      <w:pPr>
        <w:framePr w:w="9110" w:x="1798" w:y="44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2"/>
          <w:sz w:val="21"/>
          <w:szCs w:val="22"/>
          <w:lang w:val="en-US" w:eastAsia="en-US" w:bidi="ar-SA"/>
        </w:rPr>
        <w:t>）递延所得税资产和递延所得税负债是与同一税收征管部门对同一纳税主体征收的所得税</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相关或者对不同的纳税主体相关，但在未来每一具有重要性的递延所得税资产和递延所得税负债</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转回的期间内，涉及的纳税主体体意图以净额结算当期所得税资产及当期所得税负债或是同时取</w:t>
      </w:r>
    </w:p>
    <w:p>
      <w:pPr>
        <w:framePr w:w="9110" w:x="1798" w:y="44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得资产、清偿债务。</w:t>
      </w:r>
    </w:p>
    <w:p>
      <w:pPr>
        <w:framePr w:w="1087" w:x="1798" w:y="6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42.</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租赁</w:t>
      </w:r>
    </w:p>
    <w:p>
      <w:pPr>
        <w:framePr w:w="2988" w:x="1798" w:y="6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经营租赁的会计处理方法</w:t>
      </w:r>
    </w:p>
    <w:p>
      <w:pPr>
        <w:framePr w:w="1922" w:x="1798" w:y="72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18" w:x="2218" w:y="76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经营租入资产</w:t>
      </w:r>
    </w:p>
    <w:p>
      <w:pPr>
        <w:framePr w:w="9068" w:x="1798" w:y="820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公司租入资产所支付的租赁费，在不扣除免租期的整个租赁期内，按直线法进行分摊，计入</w:t>
      </w:r>
    </w:p>
    <w:p>
      <w:pPr>
        <w:framePr w:w="9068" w:x="1798" w:y="820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当期费用。公司支付的与租赁交易相关的初始直接费用，计入当期费用。</w:t>
      </w:r>
    </w:p>
    <w:p>
      <w:pPr>
        <w:framePr w:w="9068" w:x="1798" w:y="91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资产出租方承担了应由公司承担的与租赁相关的费用时，公司将该部分费用从租金总额中扣</w:t>
      </w:r>
    </w:p>
    <w:p>
      <w:pPr>
        <w:framePr w:w="9068" w:x="1798" w:y="91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除，按扣除后的租金费用在租赁期内分摊，计入当期费用。</w:t>
      </w:r>
    </w:p>
    <w:p>
      <w:pPr>
        <w:framePr w:w="1718" w:x="2220" w:y="100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经营租出资产</w:t>
      </w:r>
    </w:p>
    <w:p>
      <w:pPr>
        <w:framePr w:w="9110" w:x="1798" w:y="106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公司出租资产所收取的租赁费，在不扣除免租期的整个租赁期内，按直线法进行分摊，确认</w:t>
      </w:r>
    </w:p>
    <w:p>
      <w:pPr>
        <w:framePr w:w="9110" w:x="1798" w:y="106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为租赁收入。公司支付的与租赁交易相关的初始直接费用，计入当期费用；如金额较大的，则予</w:t>
      </w:r>
    </w:p>
    <w:p>
      <w:pPr>
        <w:framePr w:w="9110" w:x="1798" w:y="106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以资本化，在整个租赁期间内按照与租赁收入确认相同的基础分期计入当期收益。</w:t>
      </w:r>
    </w:p>
    <w:p>
      <w:pPr>
        <w:framePr w:w="9068" w:x="1798" w:y="1194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公司承担了应由承租方承担的与租赁相关的费用时，公司将该部分费用从租金收入总额中扣</w:t>
      </w:r>
    </w:p>
    <w:p>
      <w:pPr>
        <w:framePr w:w="9068" w:x="1798" w:y="11948"/>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除，按扣除后的租金费用在租赁期内分配。</w:t>
      </w:r>
    </w:p>
    <w:p>
      <w:pPr>
        <w:framePr w:w="2988" w:x="1798" w:y="128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融资租赁的会计处理方法</w:t>
      </w:r>
    </w:p>
    <w:p>
      <w:pPr>
        <w:framePr w:w="1922" w:x="1798" w:y="134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380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）融资租入资产：公司在承租开始日，将租赁资产公允价值与最低租赁付款额现值两者中</w:t>
      </w:r>
    </w:p>
    <w:p>
      <w:pPr>
        <w:framePr w:w="9110" w:x="1798" w:y="1380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较低者作为租入资产的入账价值，将最低租赁付款额作为长期应付款的入账价值，其差额作为未</w:t>
      </w:r>
    </w:p>
    <w:p>
      <w:pPr>
        <w:framePr w:w="9110" w:x="1798" w:y="1380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确认的融资费用。融资租入资产的认定依据、计价和折旧方法详见本附注七</w:t>
      </w:r>
      <w:r>
        <w:rPr>
          <w:rFonts w:ascii="SimSun" w:eastAsiaTheme="minorEastAsia" w:hAnsiTheme="minorHAnsi" w:cstheme="minorBidi"/>
          <w:color w:val="000000"/>
          <w:sz w:val="21"/>
          <w:szCs w:val="22"/>
          <w:lang w:val="en-US" w:eastAsia="en-US" w:bidi="ar-SA"/>
        </w:rPr>
        <w:t>/20</w:t>
      </w:r>
      <w:r>
        <w:rPr>
          <w:rFonts w:ascii="SimSun" w:hAnsi="SimSun" w:eastAsiaTheme="minorEastAsia" w:cs="SimSun"/>
          <w:color w:val="000000"/>
          <w:sz w:val="21"/>
          <w:szCs w:val="22"/>
          <w:lang w:val="en-US" w:eastAsia="en-US" w:bidi="ar-SA"/>
        </w:rPr>
        <w:t>固定资产。</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9" type="#_x0000_t75" style="width:445.6pt;height:2.7pt;margin-top:53.65pt;margin-left:87.45pt;mso-position-horizontal-relative:page;mso-position-vertical-relative:page;position:absolute;z-index:-25153740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19" w:name="br1_118"/>
      <w:bookmarkEnd w:id="11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8054"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公司采用实际利率法对未确认的融资费用，在资产租赁期间内摊销，计入财务费用。</w:t>
      </w:r>
    </w:p>
    <w:p>
      <w:pPr>
        <w:framePr w:w="9110" w:x="1798" w:y="20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）融资租出资产：公司在租赁开始日，将应收融资租赁款，未担保余值之和与其现值的差</w:t>
      </w:r>
    </w:p>
    <w:p>
      <w:pPr>
        <w:framePr w:w="9110"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额确认为未实现融资收益，在将来收到租金的各期间内确认为租赁收入，公司发生的与出租交易</w:t>
      </w:r>
    </w:p>
    <w:p>
      <w:pPr>
        <w:framePr w:w="9110"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相关的初始直接费用，计入应收融资租赁款的初始计量中，并减少租赁期内确认的收益金额。</w:t>
      </w:r>
    </w:p>
    <w:p>
      <w:pPr>
        <w:framePr w:w="4886" w:x="1798"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新租赁准则下租赁的确定方法及会计处理方法</w:t>
      </w:r>
    </w:p>
    <w:p>
      <w:pPr>
        <w:framePr w:w="1817" w:x="1798" w:y="39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7" w:x="1798" w:y="43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43.</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其他重要的会计政策和会计估计</w:t>
      </w:r>
    </w:p>
    <w:p>
      <w:pPr>
        <w:framePr w:w="2138" w:x="1798" w:y="48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38" w:x="1798" w:y="4860"/>
        <w:widowControl w:val="0"/>
        <w:autoSpaceDE w:val="0"/>
        <w:autoSpaceDN w:val="0"/>
        <w:spacing w:before="31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（一）套期会计</w:t>
      </w:r>
    </w:p>
    <w:p>
      <w:pPr>
        <w:framePr w:w="8688" w:x="2218" w:y="59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本公司按照套期关系，将套期保值划分为公允价值套期、现金流量套期和境外净投资套期。</w:t>
      </w:r>
    </w:p>
    <w:p>
      <w:pPr>
        <w:framePr w:w="8688" w:x="2218" w:y="5919"/>
        <w:widowControl w:val="0"/>
        <w:autoSpaceDE w:val="0"/>
        <w:autoSpaceDN w:val="0"/>
        <w:spacing w:before="24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．对于同时满足下列条件的套期工具，运用套期会计方法进行处理</w:t>
      </w:r>
    </w:p>
    <w:p>
      <w:pPr>
        <w:framePr w:w="8688" w:x="2218" w:y="5919"/>
        <w:widowControl w:val="0"/>
        <w:autoSpaceDE w:val="0"/>
        <w:autoSpaceDN w:val="0"/>
        <w:spacing w:before="24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）套期关系仅由符合条件的套期工具和被套期项目组成。</w:t>
      </w:r>
    </w:p>
    <w:p>
      <w:pPr>
        <w:framePr w:w="8794" w:x="2218" w:y="72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）在套期开始时，本公司正式指定了套期工具和被套期项目，并准备了关于套期关系和从</w:t>
      </w:r>
    </w:p>
    <w:p>
      <w:pPr>
        <w:framePr w:w="5098" w:x="1798" w:y="7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事套期的风险管理策略和风险管理目标的书面文件。</w:t>
      </w:r>
    </w:p>
    <w:p>
      <w:pPr>
        <w:framePr w:w="3725" w:x="2218" w:y="8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）套期关系符合套期有效性要求。</w:t>
      </w:r>
    </w:p>
    <w:p>
      <w:pPr>
        <w:framePr w:w="6154" w:x="2218" w:y="86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套期同时满足下列条件的，认定套期关系符合套期有效性要求：</w:t>
      </w:r>
    </w:p>
    <w:p>
      <w:pPr>
        <w:framePr w:w="8794" w:x="2218" w:y="90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）被套期项目和套期工具之间存在经济关系。该经济关系使得套期工具和被套期项目的价值</w:t>
      </w:r>
    </w:p>
    <w:p>
      <w:pPr>
        <w:framePr w:w="4886" w:x="1798" w:y="94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因面临相同的被套期风险而发生方向相反的变动。</w:t>
      </w:r>
    </w:p>
    <w:p>
      <w:pPr>
        <w:framePr w:w="8371" w:x="2218" w:y="99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）被套期项目和套期工具经济关系产生的价值变动中，信用风险的影响不占主导地位。</w:t>
      </w:r>
    </w:p>
    <w:p>
      <w:pPr>
        <w:framePr w:w="9110" w:x="1798" w:y="104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）套期关系的套期比率，等于公司实际套期的被套期项目数量与对其进行套期的套期工具实</w:t>
      </w:r>
    </w:p>
    <w:p>
      <w:pPr>
        <w:framePr w:w="9110" w:x="1798" w:y="1040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际数量之比，但不反映被套期项目和套期工具相对权重的失衡，这种失衡会导致套期无效，并可</w:t>
      </w:r>
    </w:p>
    <w:p>
      <w:pPr>
        <w:framePr w:w="9110" w:x="1798" w:y="104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能产生与套期会计目标不一致的会计结果。</w:t>
      </w:r>
    </w:p>
    <w:p>
      <w:pPr>
        <w:framePr w:w="2669" w:x="2220" w:y="116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．公允价值套期会计处理</w:t>
      </w:r>
    </w:p>
    <w:p>
      <w:pPr>
        <w:framePr w:w="9110" w:x="1798" w:y="121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）套期工具产生的利得或损失计入当期损益。如果套期工具是对选择以公允价值计量且其</w:t>
      </w:r>
    </w:p>
    <w:p>
      <w:pPr>
        <w:framePr w:w="9110" w:x="1798" w:y="121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变动计入其他综合收益的非交易性权益工具投资（或其组成部分）进行套期的，套期工具产生的</w:t>
      </w:r>
    </w:p>
    <w:p>
      <w:pPr>
        <w:framePr w:w="9110" w:x="1798" w:y="121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利得或损失计入其他综合收益。</w:t>
      </w:r>
    </w:p>
    <w:p>
      <w:pPr>
        <w:framePr w:w="9110" w:x="1798" w:y="1341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）被套期项目因被套期风险敞口形成的利得或损失计入当期损益，同时调整未以公允价值</w:t>
      </w:r>
    </w:p>
    <w:p>
      <w:pPr>
        <w:framePr w:w="9110" w:x="1798" w:y="1341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计量的已确认被套期项目的账面价值。被套期项目为以公允价值计量且其变动计入其他综合收益</w:t>
      </w:r>
    </w:p>
    <w:p>
      <w:pPr>
        <w:framePr w:w="9110" w:x="1798" w:y="1341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的金融资产（或其组成部分）的，其因被套期风险敞口形成的利得或损失计入当期损益，其账面</w:t>
      </w:r>
    </w:p>
    <w:p>
      <w:pPr>
        <w:framePr w:w="9110" w:x="1798" w:y="1341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价值已经按公允价值计量，不需要调整；被套期项目为公司选择以公允价值计量且其变动计入其</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70" type="#_x0000_t75" style="width:445.6pt;height:2.7pt;margin-top:53.65pt;margin-left:87.45pt;mso-position-horizontal-relative:page;mso-position-vertical-relative:page;position:absolute;z-index:-25153638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20" w:name="br1_119"/>
      <w:bookmarkEnd w:id="12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他综合收益的非交易性权益工具投资（或其组成部分）的，其因被套期风险敞口形成的利得或损</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失计入其他综合收益，其账面价值已经按公允价值计量，不需要调整。</w:t>
      </w:r>
    </w:p>
    <w:p>
      <w:pPr>
        <w:framePr w:w="9110" w:x="1798" w:y="24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被套期项目为尚未确认的确定承诺（或其组成部分）的，其在套期关系指定后因被套期风险</w:t>
      </w:r>
    </w:p>
    <w:p>
      <w:pPr>
        <w:framePr w:w="9110" w:x="1798" w:y="24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引起的公允价值累计变动额确认为一项资产或负债，相关的利得或损失计入各相关期间损益。当</w:t>
      </w:r>
    </w:p>
    <w:p>
      <w:pPr>
        <w:framePr w:w="9110" w:x="1798" w:y="24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履行确定承诺而取得资产或承担负债时，调整该资产或负债的初始确认金额，以包括已确认的被</w:t>
      </w:r>
    </w:p>
    <w:p>
      <w:pPr>
        <w:framePr w:w="9110" w:x="1798" w:y="24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套期项目的公允价值累计变动额。</w:t>
      </w:r>
    </w:p>
    <w:p>
      <w:pPr>
        <w:framePr w:w="9110" w:x="1798" w:y="408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）被套期项目为以摊余成本计量的金融工具（或其组成部分）的，对被套期项目账面价值</w:t>
      </w:r>
    </w:p>
    <w:p>
      <w:pPr>
        <w:framePr w:w="9110" w:x="1798" w:y="408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所作的调整按照开始摊销日重新计算的实际利率进行摊销，并计入当期损益。该摊销可以自调整</w:t>
      </w:r>
    </w:p>
    <w:p>
      <w:pPr>
        <w:framePr w:w="9110" w:x="1798" w:y="40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日开始，但不晚于对被套期项目终止进行套期利得和损失调整的时点。被套期项目为以公允价值</w:t>
      </w:r>
    </w:p>
    <w:p>
      <w:pPr>
        <w:framePr w:w="9110" w:x="1798" w:y="40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计量且其变动计入其他综合收益的金融资产（或其组成部分）的，则按照相同的方式对累计已确</w:t>
      </w:r>
    </w:p>
    <w:p>
      <w:pPr>
        <w:framePr w:w="9110" w:x="1798" w:y="40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认的套期利得或损失进行摊销，并计入当期损益，但不调整金融资产（或其组成部分）的账面价</w:t>
      </w:r>
    </w:p>
    <w:p>
      <w:pPr>
        <w:framePr w:w="9110" w:x="1798" w:y="40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值。</w:t>
      </w:r>
    </w:p>
    <w:p>
      <w:pPr>
        <w:framePr w:w="2669" w:x="2220" w:y="6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．现金流量套期会计处理</w:t>
      </w:r>
    </w:p>
    <w:p>
      <w:pPr>
        <w:framePr w:w="8794" w:x="2218" w:y="70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）套期工具产生的利得或损失中属于套期有效的部分，作为现金流量套期储备，计入其他</w:t>
      </w:r>
    </w:p>
    <w:p>
      <w:pPr>
        <w:framePr w:w="7421" w:x="1798" w:y="7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综合收益。现金流量套期储备的金额，按照下列两项的绝对额中较低者确定：</w:t>
      </w:r>
    </w:p>
    <w:p>
      <w:pPr>
        <w:framePr w:w="4358" w:x="2218" w:y="79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）套期工具自套期开始的累计利得或损失；</w:t>
      </w:r>
    </w:p>
    <w:p>
      <w:pPr>
        <w:framePr w:w="8794" w:x="2218" w:y="83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）被套期项目自套期开始的预计未来现金流量现值的累计变动额。每期计入其他综合收益的</w:t>
      </w:r>
    </w:p>
    <w:p>
      <w:pPr>
        <w:framePr w:w="5942" w:x="1798" w:y="87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现金流量套期储备的金额为当期现金流量套期储备的变动额。</w:t>
      </w:r>
    </w:p>
    <w:p>
      <w:pPr>
        <w:framePr w:w="8794" w:x="2218" w:y="92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）套期工具产生的利得或损失中属于套期无效的部分（即扣除计入其他综合收益后的其他</w:t>
      </w:r>
    </w:p>
    <w:p>
      <w:pPr>
        <w:framePr w:w="3197" w:x="1798" w:y="96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利得或损失），计入当期损益。</w:t>
      </w:r>
    </w:p>
    <w:p>
      <w:pPr>
        <w:framePr w:w="5203" w:x="2218" w:y="101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）现金流量套期储备的金额，按照下列规定处理：</w:t>
      </w:r>
    </w:p>
    <w:p>
      <w:pPr>
        <w:framePr w:w="9178" w:x="1798" w:y="105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）被套期项目为预期交易，且该预期交易使公司随后确认一项非金融资产或非金融负债的，</w:t>
      </w:r>
    </w:p>
    <w:p>
      <w:pPr>
        <w:framePr w:w="9178" w:x="1798" w:y="1056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或者非金融资产或非金融负债的预期交易形成一项适用于公允价值套期会计的确定承诺时，则将</w:t>
      </w:r>
    </w:p>
    <w:p>
      <w:pPr>
        <w:framePr w:w="9178" w:x="1798" w:y="105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原在其他综合收益中确认的现金流量套期储备金额转出，计入该资产或负债的初始确认金额。</w:t>
      </w:r>
    </w:p>
    <w:p>
      <w:pPr>
        <w:framePr w:w="8794" w:x="2218" w:y="118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）对于不属于前一条涉及的现金流量套期，在被套期的预期现金流量影响损益的相同期间，</w:t>
      </w:r>
    </w:p>
    <w:p>
      <w:pPr>
        <w:framePr w:w="7210" w:x="1798" w:y="12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将原在其他综合收益中确认的现金流量套期储备金额转出，计入当期损益。</w:t>
      </w:r>
    </w:p>
    <w:p>
      <w:pPr>
        <w:framePr w:w="9110" w:x="1798" w:y="1270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）如果在其他综合收益中确认的现金流量套期储备金额是一项损失，且该损失全部或部分预</w:t>
      </w:r>
    </w:p>
    <w:p>
      <w:pPr>
        <w:framePr w:w="9110" w:x="1798" w:y="12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计在未来会计期间不能弥补的，则在预计不能弥补时，将预计不能弥补的部分从其他综合收益中</w:t>
      </w:r>
    </w:p>
    <w:p>
      <w:pPr>
        <w:framePr w:w="9110" w:x="1798" w:y="1270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转出，计入当期损益。</w:t>
      </w:r>
    </w:p>
    <w:p>
      <w:pPr>
        <w:framePr w:w="2458" w:x="2220" w:y="139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．境外经营净投资套期</w:t>
      </w:r>
    </w:p>
    <w:p>
      <w:pPr>
        <w:framePr w:w="8688" w:x="2218" w:y="144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对境外经营净投资的套期，包括对作为净投资的一部分进行会计处理的货币性项目的套期，</w:t>
      </w:r>
    </w:p>
    <w:p>
      <w:pPr>
        <w:framePr w:w="4781" w:x="1798" w:y="148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本公司按照类似于现金流量套期会计的规定处理</w:t>
      </w:r>
      <w:r>
        <w:rPr>
          <w:rFonts w:ascii="SimSun" w:eastAsiaTheme="minorEastAsia" w:hAnsiTheme="minorHAnsi" w:cstheme="minorBidi"/>
          <w:color w:val="000000"/>
          <w:sz w:val="21"/>
          <w:szCs w:val="22"/>
          <w:lang w:val="en-US" w:eastAsia="en-US" w:bidi="ar-SA"/>
        </w:rPr>
        <w:t>:</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71" type="#_x0000_t75" style="width:445.6pt;height:2.7pt;margin-top:53.65pt;margin-left:87.45pt;mso-position-horizontal-relative:page;mso-position-vertical-relative:page;position:absolute;z-index:-25153536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21" w:name="br1_120"/>
      <w:bookmarkEnd w:id="12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7949"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）套期工具形成的利得或损失中属于套期有效的部分，应当计入其他综合收益。</w:t>
      </w:r>
    </w:p>
    <w:p>
      <w:pPr>
        <w:framePr w:w="8688" w:x="2218" w:y="1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全部或部分处置境外经营时，上述计入其他综合收益的套期工具利得或损失应当相应转出，</w:t>
      </w:r>
    </w:p>
    <w:p>
      <w:pPr>
        <w:framePr w:w="1718" w:x="1798" w:y="24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w:t>
      </w:r>
    </w:p>
    <w:p>
      <w:pPr>
        <w:framePr w:w="7526" w:x="2218" w:y="2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）套期工具形成的利得或损失中属于套期无效的部分，应当计入当期损益。</w:t>
      </w:r>
    </w:p>
    <w:p>
      <w:pPr>
        <w:framePr w:w="7526" w:x="2218" w:y="2863"/>
        <w:widowControl w:val="0"/>
        <w:autoSpaceDE w:val="0"/>
        <w:autoSpaceDN w:val="0"/>
        <w:spacing w:before="24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．终止运用套期会计</w:t>
      </w:r>
    </w:p>
    <w:p>
      <w:pPr>
        <w:framePr w:w="6893" w:x="2218" w:y="37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对于发生下列情形之一的，则终止运用套期会计：</w:t>
      </w:r>
    </w:p>
    <w:p>
      <w:pPr>
        <w:framePr w:w="6893" w:x="2218" w:y="3780"/>
        <w:widowControl w:val="0"/>
        <w:autoSpaceDE w:val="0"/>
        <w:autoSpaceDN w:val="0"/>
        <w:spacing w:before="24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）因风险管理目标发生变化，导致套期关系不再满足风险管理目标。</w:t>
      </w:r>
    </w:p>
    <w:p>
      <w:pPr>
        <w:framePr w:w="6893" w:x="2218" w:y="3780"/>
        <w:widowControl w:val="0"/>
        <w:autoSpaceDE w:val="0"/>
        <w:autoSpaceDN w:val="0"/>
        <w:spacing w:before="24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）套期工具已到期、被出售、合同终止或已行使。</w:t>
      </w:r>
    </w:p>
    <w:p>
      <w:pPr>
        <w:framePr w:w="8794" w:x="2218" w:y="51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）被套期项目与套期工具之间不再存在经济关系，或者被套期项目和套期工具经济关系产</w:t>
      </w:r>
    </w:p>
    <w:p>
      <w:pPr>
        <w:framePr w:w="5098" w:x="1798" w:y="55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生的价值变动中，信用风险的影响开始占主导地位。</w:t>
      </w:r>
    </w:p>
    <w:p>
      <w:pPr>
        <w:framePr w:w="9110" w:x="1798" w:y="602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）套期关系不再满足本准则所规定的运用套期会计方法的其他条件。在适用套期关系再平</w:t>
      </w:r>
    </w:p>
    <w:p>
      <w:pPr>
        <w:framePr w:w="9110" w:x="1798" w:y="602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衡的情况下，企业应当首先考虑套期关系再平衡，然后评估套期关系是否满足本准则所规定的运</w:t>
      </w:r>
    </w:p>
    <w:p>
      <w:pPr>
        <w:framePr w:w="9110" w:x="1798" w:y="602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用套期会计方法的条件。</w:t>
      </w:r>
    </w:p>
    <w:p>
      <w:pPr>
        <w:framePr w:w="9068" w:x="1798" w:y="729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终止套期会计可能会影响套期关系的整体或其中一部分，在仅影响其中一部分时，剩余未受</w:t>
      </w:r>
    </w:p>
    <w:p>
      <w:pPr>
        <w:framePr w:w="9068" w:x="1798" w:y="729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影响的部分仍适用套期会计。</w:t>
      </w:r>
    </w:p>
    <w:p>
      <w:pPr>
        <w:framePr w:w="3302" w:x="2220" w:y="8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．信用风险敞口的公允价值选择</w:t>
      </w:r>
    </w:p>
    <w:p>
      <w:pPr>
        <w:framePr w:w="9322" w:x="1798" w:y="86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当使用以公允价值计量且其变动计入当期损益的信用衍生工具管理金融工具（或其组成部分）</w:t>
      </w:r>
    </w:p>
    <w:p>
      <w:pPr>
        <w:framePr w:w="9322" w:x="1798" w:y="86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的信用风险敞口时，可以在该金融工具（或其组成部分）初始确认时、后续计量中或尚未确认时，</w:t>
      </w:r>
    </w:p>
    <w:p>
      <w:pPr>
        <w:framePr w:w="9322" w:x="1798" w:y="86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将其指定为以公允价值计量且其变动计入当期损益的金融工具，并同时作出书面记录，但应同时</w:t>
      </w:r>
    </w:p>
    <w:p>
      <w:pPr>
        <w:framePr w:w="9322" w:x="1798" w:y="862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满足下列条件：</w:t>
      </w:r>
    </w:p>
    <w:p>
      <w:pPr>
        <w:framePr w:w="8794" w:x="2218" w:y="103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）金融工具信用风险敞口的主体（如借款人或贷款承诺持有人）与信用衍生工具涉及的主</w:t>
      </w:r>
    </w:p>
    <w:p>
      <w:pPr>
        <w:framePr w:w="1296" w:x="1798" w:y="107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体相一致；</w:t>
      </w:r>
    </w:p>
    <w:p>
      <w:pPr>
        <w:framePr w:w="8160" w:x="2218" w:y="11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）金融工具的偿付级次与根据信用衍生工具条款须交付的工具的偿付级次相一致。</w:t>
      </w:r>
    </w:p>
    <w:p>
      <w:pPr>
        <w:framePr w:w="1930" w:x="2220" w:y="116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（二）安全生产费</w:t>
      </w:r>
    </w:p>
    <w:p>
      <w:pPr>
        <w:framePr w:w="9110" w:x="1798" w:y="1209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本公司按照国家规定提取的安全生产费，计入相关产品的成本或当期损益，同时记入“专项</w:t>
      </w:r>
    </w:p>
    <w:p>
      <w:pPr>
        <w:framePr w:w="9110" w:x="1798" w:y="120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储备”科目。使用提取的安全生产费时，属于费用性支出的，直接冲减专项储备。形成固定资产</w:t>
      </w:r>
    </w:p>
    <w:p>
      <w:pPr>
        <w:framePr w:w="9110" w:x="1798" w:y="1209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的，通过“在建工程”科目归集所发生的支出，待安全项目完工达到预定可使用状态时确认为固</w:t>
      </w:r>
    </w:p>
    <w:p>
      <w:pPr>
        <w:framePr w:w="9110" w:x="1798" w:y="120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定资产；同时，按照形成固定资产的成本冲减专项储备，并确认相同金额的累计折旧。该固定资</w:t>
      </w:r>
    </w:p>
    <w:p>
      <w:pPr>
        <w:framePr w:w="9110" w:x="1798" w:y="120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产在以后期间不再计提折旧</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72" type="#_x0000_t75" style="width:445.6pt;height:2.7pt;margin-top:53.65pt;margin-left:87.45pt;mso-position-horizontal-relative:page;mso-position-vertical-relative:page;position:absolute;z-index:-25153433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22" w:name="br1_121"/>
      <w:bookmarkEnd w:id="12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6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44.</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重要会计政策和会计估计的变更</w:t>
      </w:r>
    </w:p>
    <w:p>
      <w:pPr>
        <w:framePr w:w="3617"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重要会计政策变更</w:t>
      </w:r>
    </w:p>
    <w:p>
      <w:pPr>
        <w:framePr w:w="1817"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725" w:x="7907"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受重要影响的报表项目名称和金</w:t>
      </w:r>
    </w:p>
    <w:p>
      <w:pPr>
        <w:framePr w:w="3725" w:x="7907" w:y="2875"/>
        <w:widowControl w:val="0"/>
        <w:autoSpaceDE w:val="0"/>
        <w:autoSpaceDN w:val="0"/>
        <w:spacing w:before="62" w:line="211" w:lineRule="exact"/>
        <w:ind w:left="1577"/>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额</w:t>
      </w:r>
      <w:r>
        <w:rPr>
          <w:rFonts w:ascii="SimSun" w:eastAsiaTheme="minorEastAsia" w:hAnsiTheme="minorHAnsi" w:cstheme="minorBidi"/>
          <w:color w:val="000000"/>
          <w:sz w:val="21"/>
          <w:szCs w:val="22"/>
          <w:lang w:val="en-US" w:eastAsia="en-US" w:bidi="ar-SA"/>
        </w:rPr>
        <w:t>)</w:t>
      </w:r>
    </w:p>
    <w:p>
      <w:pPr>
        <w:framePr w:w="2774" w:x="2751" w:y="30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会计政策变更的内容和原因</w:t>
      </w:r>
    </w:p>
    <w:p>
      <w:pPr>
        <w:framePr w:w="1085" w:x="6597" w:y="30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审批程序</w:t>
      </w:r>
    </w:p>
    <w:p>
      <w:pPr>
        <w:framePr w:w="9825" w:x="1798" w:y="34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财政部修订并印发了《关于修订印发</w:t>
      </w:r>
      <w:r>
        <w:rPr>
          <w:rFonts w:ascii="SimSun" w:eastAsiaTheme="minorEastAsia" w:hAnsiTheme="minorHAnsi" w:cstheme="minorBidi"/>
          <w:color w:val="000000"/>
          <w:spacing w:val="-2"/>
          <w:sz w:val="21"/>
          <w:szCs w:val="22"/>
          <w:lang w:val="en-US" w:eastAsia="en-US" w:bidi="ar-SA"/>
        </w:rPr>
        <w:t>&lt;</w:t>
      </w:r>
      <w:r>
        <w:rPr>
          <w:rFonts w:ascii="SimSun" w:hAnsi="SimSun" w:eastAsiaTheme="minorEastAsia" w:cs="SimSun"/>
          <w:color w:val="000000"/>
          <w:sz w:val="21"/>
          <w:szCs w:val="22"/>
          <w:lang w:val="en-US" w:eastAsia="en-US" w:bidi="ar-SA"/>
        </w:rPr>
        <w:t>企业会计准</w:t>
      </w:r>
      <w:r>
        <w:rPr>
          <w:rFonts w:eastAsiaTheme="minorEastAsia" w:hAnsiTheme="minorHAnsi" w:cstheme="minorBidi"/>
          <w:color w:val="000000"/>
          <w:spacing w:val="1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董事会审批</w:t>
      </w:r>
      <w:r>
        <w:rPr>
          <w:rFonts w:eastAsiaTheme="minorEastAsia" w:hAnsiTheme="minorHAnsi" w:cstheme="minorBidi"/>
          <w:color w:val="000000"/>
          <w:spacing w:val="260"/>
          <w:sz w:val="21"/>
          <w:szCs w:val="22"/>
          <w:lang w:val="en-US" w:eastAsia="en-US" w:bidi="ar-SA"/>
        </w:rPr>
        <w:t xml:space="preserve"> </w:t>
      </w:r>
      <w:r>
        <w:rPr>
          <w:rFonts w:ascii="SimSun" w:hAnsi="SimSun" w:eastAsiaTheme="minorEastAsia" w:cs="SimSun"/>
          <w:color w:val="000000"/>
          <w:sz w:val="21"/>
          <w:szCs w:val="22"/>
          <w:lang w:val="en-US" w:eastAsia="en-US" w:bidi="ar-SA"/>
        </w:rPr>
        <w:t>本次会计政策变不涉及对公司以前年度</w:t>
      </w:r>
    </w:p>
    <w:p>
      <w:pPr>
        <w:framePr w:w="4781" w:x="1798" w:y="38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则第</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14</w:t>
      </w:r>
      <w:r>
        <w:rPr>
          <w:rFonts w:ascii="SimSun" w:hAnsi="SimSun" w:eastAsiaTheme="minorEastAsia" w:cs="SimSun"/>
          <w:color w:val="000000"/>
          <w:sz w:val="21"/>
          <w:szCs w:val="22"/>
          <w:lang w:val="en-US" w:eastAsia="en-US" w:bidi="ar-SA"/>
        </w:rPr>
        <w:t>号—收入</w:t>
      </w:r>
      <w:r>
        <w:rPr>
          <w:rFonts w:ascii="SimSun" w:eastAsiaTheme="minorEastAsia" w:hAnsiTheme="minorHAnsi" w:cstheme="minorBidi"/>
          <w:color w:val="000000"/>
          <w:spacing w:val="1"/>
          <w:sz w:val="21"/>
          <w:szCs w:val="22"/>
          <w:lang w:val="en-US" w:eastAsia="en-US" w:bidi="ar-SA"/>
        </w:rPr>
        <w:t>&gt;</w:t>
      </w:r>
      <w:r>
        <w:rPr>
          <w:rFonts w:ascii="SimSun" w:hAnsi="SimSun" w:eastAsiaTheme="minorEastAsia" w:cs="SimSun"/>
          <w:color w:val="000000"/>
          <w:spacing w:val="-15"/>
          <w:sz w:val="21"/>
          <w:szCs w:val="22"/>
          <w:lang w:val="en-US" w:eastAsia="en-US" w:bidi="ar-SA"/>
        </w:rPr>
        <w:t>的通知》（财会</w:t>
      </w:r>
      <w:r>
        <w:rPr>
          <w:rFonts w:ascii="SimSun" w:eastAsiaTheme="minorEastAsia" w:hAnsiTheme="minorHAnsi" w:cstheme="minorBidi"/>
          <w:color w:val="000000"/>
          <w:sz w:val="21"/>
          <w:szCs w:val="22"/>
          <w:lang w:val="en-US" w:eastAsia="en-US" w:bidi="ar-SA"/>
        </w:rPr>
        <w:t>[2017]22</w:t>
      </w:r>
      <w:r>
        <w:rPr>
          <w:rFonts w:ascii="SimSun" w:hAnsi="SimSun" w:eastAsiaTheme="minorEastAsia" w:cs="SimSun"/>
          <w:color w:val="000000"/>
          <w:sz w:val="21"/>
          <w:szCs w:val="22"/>
          <w:lang w:val="en-US" w:eastAsia="en-US" w:bidi="ar-SA"/>
        </w:rPr>
        <w:t>号</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53"/>
          <w:sz w:val="21"/>
          <w:szCs w:val="22"/>
          <w:lang w:val="en-US" w:eastAsia="en-US" w:bidi="ar-SA"/>
        </w:rPr>
        <w:t>），</w:t>
      </w:r>
    </w:p>
    <w:p>
      <w:pPr>
        <w:framePr w:w="4781" w:x="1798" w:y="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对收入的确认、计量进行了修订：</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将现行收入</w:t>
      </w:r>
    </w:p>
    <w:p>
      <w:pPr>
        <w:framePr w:w="4781" w:x="1798" w:y="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和建造合同两项准则纳入统一的收入确认模型；</w:t>
      </w:r>
    </w:p>
    <w:p>
      <w:pPr>
        <w:framePr w:w="4781" w:x="1798" w:y="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引入了收入确认计量的五步法，并以控制权转</w:t>
      </w:r>
    </w:p>
    <w:p>
      <w:pPr>
        <w:framePr w:w="4781" w:x="1798" w:y="3840"/>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移替代风险报酬转移作为收入确认时点的判断标</w:t>
      </w:r>
    </w:p>
    <w:p>
      <w:pPr>
        <w:framePr w:w="4781" w:x="1798" w:y="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准；</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对于包含多重交易安排的合同的会计处理</w:t>
      </w:r>
    </w:p>
    <w:p>
      <w:pPr>
        <w:framePr w:w="4781" w:x="1798" w:y="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提供更明确的指引；</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对于某些特定交易（或事</w:t>
      </w:r>
    </w:p>
    <w:p>
      <w:pPr>
        <w:framePr w:w="4781" w:x="1798" w:y="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项）的收入确认和计量给出了明确规定。</w:t>
      </w:r>
    </w:p>
    <w:p>
      <w:pPr>
        <w:framePr w:w="3830" w:x="7809" w:y="38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的追溯调整，仅对期初留存收益及其他</w:t>
      </w:r>
    </w:p>
    <w:p>
      <w:pPr>
        <w:framePr w:w="3830" w:x="7809" w:y="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相关报表项目金额进行调整，不会对公</w:t>
      </w:r>
    </w:p>
    <w:p>
      <w:pPr>
        <w:framePr w:w="3830" w:x="7809" w:y="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司财务状况、经营成果和现金流产生重</w:t>
      </w:r>
    </w:p>
    <w:p>
      <w:pPr>
        <w:framePr w:w="3830" w:x="7809" w:y="384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大影响。具体调整如下：</w:t>
      </w:r>
    </w:p>
    <w:p>
      <w:pPr>
        <w:framePr w:w="3865" w:x="7809" w:y="54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预收账款期初数：</w:t>
      </w:r>
      <w:r>
        <w:rPr>
          <w:rFonts w:ascii="SimSun" w:eastAsiaTheme="minorEastAsia" w:hAnsiTheme="minorHAnsi" w:cstheme="minorBidi"/>
          <w:color w:val="000000"/>
          <w:sz w:val="21"/>
          <w:szCs w:val="22"/>
          <w:lang w:val="en-US" w:eastAsia="en-US" w:bidi="ar-SA"/>
        </w:rPr>
        <w:t>-87,694,315.47</w:t>
      </w:r>
      <w:r>
        <w:rPr>
          <w:rFonts w:ascii="SimSun" w:hAnsi="SimSun" w:eastAsiaTheme="minorEastAsia" w:cs="SimSun"/>
          <w:color w:val="000000"/>
          <w:sz w:val="21"/>
          <w:szCs w:val="22"/>
          <w:lang w:val="en-US" w:eastAsia="en-US" w:bidi="ar-SA"/>
        </w:rPr>
        <w:t>元</w:t>
      </w:r>
    </w:p>
    <w:p>
      <w:pPr>
        <w:framePr w:w="3865" w:x="7809" w:y="54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合同负债期初数：</w:t>
      </w:r>
      <w:r>
        <w:rPr>
          <w:rFonts w:ascii="SimSun" w:eastAsiaTheme="minorEastAsia" w:hAnsiTheme="minorHAnsi" w:cstheme="minorBidi"/>
          <w:color w:val="000000"/>
          <w:sz w:val="21"/>
          <w:szCs w:val="22"/>
          <w:lang w:val="en-US" w:eastAsia="en-US" w:bidi="ar-SA"/>
        </w:rPr>
        <w:t>82,730,306.24</w:t>
      </w:r>
      <w:r>
        <w:rPr>
          <w:rFonts w:ascii="SimSun" w:hAnsi="SimSun" w:eastAsiaTheme="minorEastAsia" w:cs="SimSun"/>
          <w:color w:val="000000"/>
          <w:sz w:val="21"/>
          <w:szCs w:val="22"/>
          <w:lang w:val="en-US" w:eastAsia="en-US" w:bidi="ar-SA"/>
        </w:rPr>
        <w:t>元</w:t>
      </w:r>
    </w:p>
    <w:p>
      <w:pPr>
        <w:framePr w:w="3865" w:x="7809" w:y="547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其他流动负债期初数：</w:t>
      </w:r>
      <w:r>
        <w:rPr>
          <w:rFonts w:ascii="SimSun" w:eastAsiaTheme="minorEastAsia" w:hAnsiTheme="minorHAnsi" w:cstheme="minorBidi"/>
          <w:color w:val="000000"/>
          <w:sz w:val="21"/>
          <w:szCs w:val="22"/>
          <w:lang w:val="en-US" w:eastAsia="en-US" w:bidi="ar-SA"/>
        </w:rPr>
        <w:t>4,964,009.23</w:t>
      </w:r>
      <w:r>
        <w:rPr>
          <w:rFonts w:ascii="SimSun" w:hAnsi="SimSun" w:eastAsiaTheme="minorEastAsia" w:cs="SimSun"/>
          <w:color w:val="000000"/>
          <w:sz w:val="21"/>
          <w:szCs w:val="22"/>
          <w:lang w:val="en-US" w:eastAsia="en-US" w:bidi="ar-SA"/>
        </w:rPr>
        <w:t>元</w:t>
      </w:r>
    </w:p>
    <w:p>
      <w:pPr>
        <w:framePr w:w="9825" w:x="1798" w:y="71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pacing w:val="-2"/>
          <w:sz w:val="21"/>
          <w:szCs w:val="22"/>
          <w:lang w:val="en-US" w:eastAsia="en-US" w:bidi="ar-SA"/>
        </w:rPr>
        <w:t>日，财政部发布了《企业会计准则</w:t>
      </w:r>
      <w:r>
        <w:rPr>
          <w:rFonts w:eastAsiaTheme="minorEastAsia" w:hAnsiTheme="minorHAnsi" w:cstheme="minorBidi"/>
          <w:color w:val="000000"/>
          <w:spacing w:val="16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董事会审批</w:t>
      </w:r>
      <w:r>
        <w:rPr>
          <w:rFonts w:eastAsiaTheme="minorEastAsia" w:hAnsiTheme="minorHAnsi" w:cstheme="minorBidi"/>
          <w:color w:val="000000"/>
          <w:spacing w:val="260"/>
          <w:sz w:val="21"/>
          <w:szCs w:val="22"/>
          <w:lang w:val="en-US" w:eastAsia="en-US" w:bidi="ar-SA"/>
        </w:rPr>
        <w:t xml:space="preserve"> </w:t>
      </w:r>
      <w:r>
        <w:rPr>
          <w:rFonts w:ascii="SimSun" w:hAnsi="SimSun" w:eastAsiaTheme="minorEastAsia" w:cs="SimSun"/>
          <w:color w:val="000000"/>
          <w:sz w:val="21"/>
          <w:szCs w:val="22"/>
          <w:lang w:val="en-US" w:eastAsia="en-US" w:bidi="ar-SA"/>
        </w:rPr>
        <w:t>本次会计政策变更不会对公司当期及前</w:t>
      </w:r>
    </w:p>
    <w:p>
      <w:pPr>
        <w:framePr w:w="5098" w:x="1798" w:y="75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7</w:t>
      </w:r>
      <w:r>
        <w:rPr>
          <w:rFonts w:ascii="SimSun" w:hAnsi="SimSun" w:eastAsiaTheme="minorEastAsia" w:cs="SimSun"/>
          <w:color w:val="000000"/>
          <w:spacing w:val="-18"/>
          <w:sz w:val="21"/>
          <w:szCs w:val="22"/>
          <w:lang w:val="en-US" w:eastAsia="en-US" w:bidi="ar-SA"/>
        </w:rPr>
        <w:t>号—非货币性资产交换》（财会〔</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80"/>
          <w:sz w:val="21"/>
          <w:szCs w:val="22"/>
          <w:lang w:val="en-US" w:eastAsia="en-US" w:bidi="ar-SA"/>
        </w:rPr>
        <w:t>〕</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号</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52"/>
          <w:sz w:val="21"/>
          <w:szCs w:val="22"/>
          <w:lang w:val="en-US" w:eastAsia="en-US" w:bidi="ar-SA"/>
        </w:rPr>
        <w:t>），</w:t>
      </w:r>
    </w:p>
    <w:p>
      <w:pPr>
        <w:framePr w:w="5098" w:x="1798" w:y="7527"/>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对非货币性资产交货确认和计量进行了修订：</w:t>
      </w:r>
      <w:r>
        <w:rPr>
          <w:rFonts w:ascii="SimSun" w:eastAsiaTheme="minorEastAsia" w:hAnsiTheme="minorHAnsi" w:cstheme="minorBidi"/>
          <w:color w:val="000000"/>
          <w:spacing w:val="1"/>
          <w:sz w:val="21"/>
          <w:szCs w:val="22"/>
          <w:lang w:val="en-US" w:eastAsia="en-US" w:bidi="ar-SA"/>
        </w:rPr>
        <w:t>1.</w:t>
      </w:r>
    </w:p>
    <w:p>
      <w:pPr>
        <w:framePr w:w="5098" w:x="1798" w:y="75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明确准则适用范围以及对“非货币性资产交换”</w:t>
      </w:r>
    </w:p>
    <w:p>
      <w:pPr>
        <w:framePr w:w="5098" w:x="1798" w:y="7527"/>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和“货币性资产”的定义；</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明确了非货币性资</w:t>
      </w:r>
    </w:p>
    <w:p>
      <w:pPr>
        <w:framePr w:w="5098" w:x="1798" w:y="75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产交换的确认时点。对于换入资产，企业应当在</w:t>
      </w:r>
    </w:p>
    <w:p>
      <w:pPr>
        <w:framePr w:w="5098" w:x="1798" w:y="75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换入资产符合资产定义并满足资产确认条件时予</w:t>
      </w:r>
    </w:p>
    <w:p>
      <w:pPr>
        <w:framePr w:w="5098" w:x="1798" w:y="75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以确认；对于换出资产，企业应当在换出资产满</w:t>
      </w:r>
    </w:p>
    <w:p>
      <w:pPr>
        <w:framePr w:w="5098" w:x="1798" w:y="75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足资产终止确认条件时终止确认；</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明确了不同</w:t>
      </w:r>
    </w:p>
    <w:p>
      <w:pPr>
        <w:framePr w:w="5098" w:x="1798" w:y="752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条件下非货币交换的价值计量基础和核算方法及</w:t>
      </w:r>
    </w:p>
    <w:p>
      <w:pPr>
        <w:framePr w:w="5098" w:x="1798" w:y="75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相关信息披露要求等。</w:t>
      </w:r>
    </w:p>
    <w:p>
      <w:pPr>
        <w:framePr w:w="3830" w:x="7809" w:y="75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期的财务状况、经营成果和现金流产生</w:t>
      </w:r>
    </w:p>
    <w:p>
      <w:pPr>
        <w:framePr w:w="3830" w:x="7809" w:y="75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影响。</w:t>
      </w:r>
    </w:p>
    <w:p>
      <w:pPr>
        <w:framePr w:w="9825" w:x="1798" w:y="116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w:t>
      </w:r>
      <w:r>
        <w:rPr>
          <w:rFonts w:ascii="SimSun" w:hAnsi="SimSun" w:eastAsiaTheme="minorEastAsia" w:cs="SimSun"/>
          <w:color w:val="000000"/>
          <w:sz w:val="21"/>
          <w:szCs w:val="22"/>
          <w:lang w:val="en-US" w:eastAsia="en-US" w:bidi="ar-SA"/>
        </w:rPr>
        <w:t>日，财政部发布了《企业会计准</w:t>
      </w:r>
      <w:r>
        <w:rPr>
          <w:rFonts w:eastAsiaTheme="minorEastAsia" w:hAnsiTheme="minorHAnsi" w:cstheme="minorBidi"/>
          <w:color w:val="000000"/>
          <w:spacing w:val="2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董事会审批</w:t>
      </w:r>
      <w:r>
        <w:rPr>
          <w:rFonts w:eastAsiaTheme="minorEastAsia" w:hAnsiTheme="minorHAnsi" w:cstheme="minorBidi"/>
          <w:color w:val="000000"/>
          <w:spacing w:val="260"/>
          <w:sz w:val="21"/>
          <w:szCs w:val="22"/>
          <w:lang w:val="en-US" w:eastAsia="en-US" w:bidi="ar-SA"/>
        </w:rPr>
        <w:t xml:space="preserve"> </w:t>
      </w:r>
      <w:r>
        <w:rPr>
          <w:rFonts w:ascii="SimSun" w:hAnsi="SimSun" w:eastAsiaTheme="minorEastAsia" w:cs="SimSun"/>
          <w:color w:val="000000"/>
          <w:sz w:val="21"/>
          <w:szCs w:val="22"/>
          <w:lang w:val="en-US" w:eastAsia="en-US" w:bidi="ar-SA"/>
        </w:rPr>
        <w:t>本次会计政策变更不会对公司当期及前</w:t>
      </w:r>
    </w:p>
    <w:p>
      <w:pPr>
        <w:framePr w:w="4781" w:x="1798" w:y="12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则第</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pacing w:val="-11"/>
          <w:sz w:val="21"/>
          <w:szCs w:val="22"/>
          <w:lang w:val="en-US" w:eastAsia="en-US" w:bidi="ar-SA"/>
        </w:rPr>
        <w:t>号—债务重组》（财会〔</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11"/>
          <w:sz w:val="21"/>
          <w:szCs w:val="22"/>
          <w:lang w:val="en-US" w:eastAsia="en-US" w:bidi="ar-SA"/>
        </w:rPr>
        <w:t>〕</w:t>
      </w:r>
      <w:r>
        <w:rPr>
          <w:rFonts w:ascii="SimSun" w:eastAsiaTheme="minorEastAsia" w:hAnsiTheme="minorHAnsi" w:cstheme="minorBidi"/>
          <w:color w:val="000000"/>
          <w:spacing w:val="53"/>
          <w:sz w:val="21"/>
          <w:szCs w:val="22"/>
          <w:lang w:val="en-US" w:eastAsia="en-US" w:bidi="ar-SA"/>
        </w:rPr>
        <w:t>9</w:t>
      </w:r>
      <w:r>
        <w:rPr>
          <w:rFonts w:ascii="SimSun" w:hAnsi="SimSun" w:eastAsiaTheme="minorEastAsia" w:cs="SimSun"/>
          <w:color w:val="000000"/>
          <w:spacing w:val="-29"/>
          <w:sz w:val="21"/>
          <w:szCs w:val="22"/>
          <w:lang w:val="en-US" w:eastAsia="en-US" w:bidi="ar-SA"/>
        </w:rPr>
        <w:t>号），对</w:t>
      </w:r>
    </w:p>
    <w:p>
      <w:pPr>
        <w:framePr w:w="4781" w:x="1798" w:y="12029"/>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债务重组确认、计量、列报进行了修订：</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在债</w:t>
      </w:r>
    </w:p>
    <w:p>
      <w:pPr>
        <w:framePr w:w="4781" w:x="1798" w:y="120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务重组定义方面，强调重新达成协议，不再强调</w:t>
      </w:r>
    </w:p>
    <w:p>
      <w:pPr>
        <w:framePr w:w="4781" w:x="1798" w:y="120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债务人发生财务困难、债权人做出让步，将重组</w:t>
      </w:r>
    </w:p>
    <w:p>
      <w:pPr>
        <w:framePr w:w="4781" w:x="1798" w:y="120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债权和债务指定为《企业会计准则第</w:t>
      </w:r>
      <w:r>
        <w:rPr>
          <w:rFonts w:eastAsiaTheme="minorEastAsia" w:hAnsiTheme="minorHAnsi" w:cstheme="minorBidi"/>
          <w:color w:val="000000"/>
          <w:spacing w:val="7"/>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22</w:t>
      </w:r>
      <w:r>
        <w:rPr>
          <w:rFonts w:ascii="SimSun" w:hAnsi="SimSun" w:eastAsiaTheme="minorEastAsia" w:cs="SimSun"/>
          <w:color w:val="000000"/>
          <w:sz w:val="21"/>
          <w:szCs w:val="22"/>
          <w:lang w:val="en-US" w:eastAsia="en-US" w:bidi="ar-SA"/>
        </w:rPr>
        <w:t>号—金融</w:t>
      </w:r>
    </w:p>
    <w:p>
      <w:pPr>
        <w:framePr w:w="4781" w:x="1798" w:y="1202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工具确认和计量》规范的金融工具范畴；</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对以</w:t>
      </w:r>
    </w:p>
    <w:p>
      <w:pPr>
        <w:framePr w:w="4781" w:x="1798" w:y="120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非现金资产清偿债务方式进行债务重组的，明确</w:t>
      </w:r>
    </w:p>
    <w:p>
      <w:pPr>
        <w:framePr w:w="4781" w:x="1798" w:y="120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了债权人初始确认受让的金融资产以外的资产时</w:t>
      </w:r>
    </w:p>
    <w:p>
      <w:pPr>
        <w:framePr w:w="3830" w:x="7809" w:y="12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期的财务状况、经营成果和现金流产生</w:t>
      </w:r>
    </w:p>
    <w:p>
      <w:pPr>
        <w:framePr w:w="3830" w:x="7809" w:y="12029"/>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影响。</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73" type="#_x0000_t75" style="width:445.6pt;height:2.7pt;margin-top:53.65pt;margin-left:87.45pt;mso-position-horizontal-relative:page;mso-position-vertical-relative:page;position:absolute;z-index:-251389952">
            <v:imagedata r:id="rId190" o:title=""/>
          </v:shape>
        </w:pict>
      </w:r>
      <w:r>
        <w:rPr>
          <w:noProof/>
        </w:rPr>
        <w:pict>
          <v:shape id="_x0000_s1274" type="#_x0000_t75" style="width:497pt;height:624.15pt;margin-top:140.8pt;margin-left:83.25pt;mso-position-horizontal-relative:page;mso-position-vertical-relative:page;position:absolute;z-index:-251533312">
            <v:imagedata r:id="rId191" o:title=""/>
          </v:shape>
        </w:pict>
      </w:r>
    </w:p>
    <w:p>
      <w:pPr>
        <w:spacing w:line="0" w:lineRule="atLeast"/>
        <w:rPr>
          <w:rFonts w:ascii="Arial" w:eastAsiaTheme="minorEastAsia" w:hAnsiTheme="minorHAnsi" w:cstheme="minorBidi"/>
          <w:color w:val="FF0000"/>
          <w:sz w:val="2"/>
          <w:szCs w:val="22"/>
          <w:lang w:val="en-US" w:eastAsia="en-US" w:bidi="ar-SA"/>
        </w:rPr>
      </w:pPr>
      <w:bookmarkStart w:id="123" w:name="br1_122"/>
      <w:bookmarkEnd w:id="12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4675"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的成本计量原则；</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明确了债权人放弃债权采用</w:t>
      </w:r>
    </w:p>
    <w:p>
      <w:pPr>
        <w:framePr w:w="4675" w:x="1798" w:y="19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公允价值计量；</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重新规定了债权人、债务人的</w:t>
      </w:r>
    </w:p>
    <w:p>
      <w:pPr>
        <w:framePr w:w="2986" w:x="1798" w:y="23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会计处理及信息披露要求等。</w:t>
      </w:r>
    </w:p>
    <w:p>
      <w:pPr>
        <w:framePr w:w="1085" w:x="1798" w:y="29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451" w:x="1798" w:y="34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357" w:x="1798" w:y="39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重要会计估计变更</w:t>
      </w:r>
    </w:p>
    <w:p>
      <w:pPr>
        <w:framePr w:w="1817" w:x="1798" w:y="44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522" w:x="1798" w:y="4875"/>
        <w:widowControl w:val="0"/>
        <w:autoSpaceDE w:val="0"/>
        <w:autoSpaceDN w:val="0"/>
        <w:spacing w:line="234"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eastAsiaTheme="minorEastAsia" w:hAnsiTheme="minorHAnsi" w:cstheme="minorBidi"/>
          <w:b/>
          <w:color w:val="000000"/>
          <w:spacing w:val="1"/>
          <w:sz w:val="21"/>
          <w:szCs w:val="22"/>
          <w:lang w:val="en-US" w:eastAsia="en-US" w:bidi="ar-SA"/>
        </w:rPr>
        <w:t>2020</w:t>
      </w:r>
      <w:r>
        <w:rPr>
          <w:rFonts w:eastAsiaTheme="minorEastAsia" w:hAnsiTheme="minorHAnsi" w:cstheme="minorBidi"/>
          <w:b/>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年起首次执行新收入准则、新租赁准则调整首次执行当年年初财务报表相关情况</w:t>
      </w:r>
    </w:p>
    <w:p>
      <w:pPr>
        <w:framePr w:w="5393" w:x="1798" w:y="5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93" w:x="1798" w:y="5410"/>
        <w:widowControl w:val="0"/>
        <w:autoSpaceDE w:val="0"/>
        <w:autoSpaceDN w:val="0"/>
        <w:spacing w:before="60" w:line="211" w:lineRule="exact"/>
        <w:ind w:left="368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合并资产负债表</w:t>
      </w:r>
    </w:p>
    <w:p>
      <w:pPr>
        <w:framePr w:w="5850" w:x="5024" w:y="5955"/>
        <w:widowControl w:val="0"/>
        <w:autoSpaceDE w:val="0"/>
        <w:autoSpaceDN w:val="0"/>
        <w:spacing w:line="211" w:lineRule="exact"/>
        <w:ind w:left="35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5850" w:x="5024" w:y="595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r>
        <w:rPr>
          <w:rFonts w:eastAsiaTheme="minorEastAsia" w:hAnsiTheme="minorHAnsi" w:cstheme="minorBidi"/>
          <w:color w:val="000000"/>
          <w:spacing w:val="27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日</w:t>
      </w:r>
      <w:r>
        <w:rPr>
          <w:rFonts w:eastAsiaTheme="minorEastAsia" w:hAnsiTheme="minorHAnsi" w:cstheme="minorBidi"/>
          <w:color w:val="000000"/>
          <w:spacing w:val="77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调整数</w:t>
      </w:r>
    </w:p>
    <w:p>
      <w:pPr>
        <w:framePr w:w="662" w:x="3072" w:y="62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1798" w:y="65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流动资产：</w:t>
      </w:r>
    </w:p>
    <w:p>
      <w:pPr>
        <w:framePr w:w="1296" w:x="1798" w:y="651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718" w:x="5336" w:y="68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517,409,060.19</w:t>
      </w:r>
    </w:p>
    <w:p>
      <w:pPr>
        <w:framePr w:w="1718" w:x="5336" w:y="6802"/>
        <w:widowControl w:val="0"/>
        <w:autoSpaceDE w:val="0"/>
        <w:autoSpaceDN w:val="0"/>
        <w:spacing w:before="636"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55,822,821.60</w:t>
      </w:r>
    </w:p>
    <w:p>
      <w:pPr>
        <w:framePr w:w="1718" w:x="7230" w:y="68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517,409,060.19</w:t>
      </w:r>
    </w:p>
    <w:p>
      <w:pPr>
        <w:framePr w:w="1296" w:x="2009" w:y="70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结算备付金</w:t>
      </w:r>
    </w:p>
    <w:p>
      <w:pPr>
        <w:framePr w:w="1296" w:x="2009" w:y="70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拆出资金</w:t>
      </w:r>
    </w:p>
    <w:p>
      <w:pPr>
        <w:framePr w:w="1718" w:x="2009" w:y="76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718" w:x="2009" w:y="76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718" w:x="2009" w:y="76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613" w:x="7336" w:y="76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55,822,821.60</w:t>
      </w:r>
    </w:p>
    <w:p>
      <w:pPr>
        <w:framePr w:w="1718" w:x="5336" w:y="8213"/>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1718" w:x="5336" w:y="821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286,626,640.04</w:t>
      </w:r>
    </w:p>
    <w:p>
      <w:pPr>
        <w:framePr w:w="1718" w:x="5336" w:y="821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1718" w:x="5336" w:y="821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14,665,853.92</w:t>
      </w:r>
    </w:p>
    <w:p>
      <w:pPr>
        <w:framePr w:w="1718" w:x="7230" w:y="8213"/>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1718" w:x="7230" w:y="821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286,626,640.04</w:t>
      </w:r>
    </w:p>
    <w:p>
      <w:pPr>
        <w:framePr w:w="1718" w:x="7230" w:y="821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1718" w:x="7230" w:y="821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14,665,853.92</w:t>
      </w:r>
    </w:p>
    <w:p>
      <w:pPr>
        <w:framePr w:w="1085" w:x="2009" w:y="84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507" w:x="2009" w:y="87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w:t>
      </w:r>
    </w:p>
    <w:p>
      <w:pPr>
        <w:framePr w:w="1507" w:x="2009" w:y="877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085" w:x="2009" w:y="93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应收保费</w:t>
      </w:r>
    </w:p>
    <w:p>
      <w:pPr>
        <w:framePr w:w="2141" w:x="2009" w:y="96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应收分保账款</w:t>
      </w:r>
    </w:p>
    <w:p>
      <w:pPr>
        <w:framePr w:w="2141" w:x="2009" w:y="962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应收分保合同准备金</w:t>
      </w:r>
    </w:p>
    <w:p>
      <w:pPr>
        <w:framePr w:w="2141" w:x="2009" w:y="962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718" w:x="5336" w:y="10189"/>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718" w:x="5336" w:y="10189"/>
        <w:widowControl w:val="0"/>
        <w:autoSpaceDE w:val="0"/>
        <w:autoSpaceDN w:val="0"/>
        <w:spacing w:before="91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433,650,594.00</w:t>
      </w:r>
    </w:p>
    <w:p>
      <w:pPr>
        <w:framePr w:w="1718" w:x="5336" w:y="10189"/>
        <w:widowControl w:val="0"/>
        <w:autoSpaceDE w:val="0"/>
        <w:autoSpaceDN w:val="0"/>
        <w:spacing w:before="91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85,937,187.03</w:t>
      </w:r>
    </w:p>
    <w:p>
      <w:pPr>
        <w:framePr w:w="1718" w:x="7230" w:y="10189"/>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718" w:x="7230" w:y="10189"/>
        <w:widowControl w:val="0"/>
        <w:autoSpaceDE w:val="0"/>
        <w:autoSpaceDN w:val="0"/>
        <w:spacing w:before="91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433,650,594.00</w:t>
      </w:r>
    </w:p>
    <w:p>
      <w:pPr>
        <w:framePr w:w="1718" w:x="7230" w:y="10189"/>
        <w:widowControl w:val="0"/>
        <w:autoSpaceDE w:val="0"/>
        <w:autoSpaceDN w:val="0"/>
        <w:spacing w:before="91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85,937,187.03</w:t>
      </w:r>
    </w:p>
    <w:p>
      <w:pPr>
        <w:framePr w:w="1718" w:x="2009" w:y="104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其中：应收利息</w:t>
      </w:r>
    </w:p>
    <w:p>
      <w:pPr>
        <w:framePr w:w="1718" w:x="2009" w:y="10472"/>
        <w:widowControl w:val="0"/>
        <w:autoSpaceDE w:val="0"/>
        <w:autoSpaceDN w:val="0"/>
        <w:spacing w:before="72"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1930" w:x="2009" w:y="11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买入返售金融资产</w:t>
      </w:r>
    </w:p>
    <w:p>
      <w:pPr>
        <w:framePr w:w="1930" w:x="2009" w:y="1103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1085" w:x="2009" w:y="116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2765" w:x="1798" w:y="11883"/>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持有待售资产</w:t>
      </w:r>
    </w:p>
    <w:p>
      <w:pPr>
        <w:framePr w:w="2765" w:x="1798" w:y="1188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w:t>
      </w:r>
    </w:p>
    <w:p>
      <w:pPr>
        <w:framePr w:w="2765" w:x="1798" w:y="11883"/>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其他流动资产</w:t>
      </w:r>
    </w:p>
    <w:p>
      <w:pPr>
        <w:framePr w:w="2765" w:x="1798" w:y="11883"/>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流动资产合计</w:t>
      </w:r>
    </w:p>
    <w:p>
      <w:pPr>
        <w:framePr w:w="2765" w:x="1798" w:y="118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非流动资产：</w:t>
      </w:r>
    </w:p>
    <w:p>
      <w:pPr>
        <w:framePr w:w="2765" w:x="1798" w:y="11883"/>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发放贷款和垫款</w:t>
      </w:r>
    </w:p>
    <w:p>
      <w:pPr>
        <w:framePr w:w="2765" w:x="1798" w:y="1188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w:t>
      </w:r>
    </w:p>
    <w:p>
      <w:pPr>
        <w:framePr w:w="3817" w:x="5127" w:y="127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1,412,505,608.75</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1,412,505,608.75</w:t>
      </w:r>
    </w:p>
    <w:p>
      <w:pPr>
        <w:framePr w:w="1507" w:x="2009" w:y="138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w:t>
      </w:r>
    </w:p>
    <w:p>
      <w:pPr>
        <w:framePr w:w="1507" w:x="2009" w:y="1386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长期应收款</w:t>
      </w:r>
    </w:p>
    <w:p>
      <w:pPr>
        <w:framePr w:w="2141" w:x="2009" w:y="14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w:t>
      </w:r>
    </w:p>
    <w:p>
      <w:pPr>
        <w:framePr w:w="2141" w:x="2009" w:y="1442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w:t>
      </w:r>
    </w:p>
    <w:p>
      <w:pPr>
        <w:framePr w:w="2141" w:x="2009" w:y="1442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其他非流动金融资产</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75" type="#_x0000_t75" style="width:445.6pt;height:2.7pt;margin-top:53.65pt;margin-left:87.45pt;mso-position-horizontal-relative:page;mso-position-vertical-relative:page;position:absolute;z-index:-251283456">
            <v:imagedata r:id="rId192" o:title=""/>
          </v:shape>
        </w:pict>
      </w:r>
      <w:r>
        <w:rPr>
          <w:noProof/>
        </w:rPr>
        <w:pict>
          <v:shape id="_x0000_s1276" type="#_x0000_t75" style="width:497pt;height:64.3pt;margin-top:74.3pt;margin-left:83.25pt;mso-position-horizontal-relative:page;mso-position-vertical-relative:page;position:absolute;z-index:-251388928">
            <v:imagedata r:id="rId193" o:title=""/>
          </v:shape>
        </w:pict>
      </w:r>
      <w:r>
        <w:rPr>
          <w:noProof/>
        </w:rPr>
        <w:pict>
          <v:shape id="_x0000_s1277" type="#_x0000_t75" style="width:454.5pt;height:454.35pt;margin-top:308.8pt;margin-left:83.25pt;mso-position-horizontal-relative:page;mso-position-vertical-relative:page;position:absolute;z-index:-251532288">
            <v:imagedata r:id="rId194" o:title=""/>
          </v:shape>
        </w:pict>
      </w:r>
    </w:p>
    <w:p>
      <w:pPr>
        <w:spacing w:line="0" w:lineRule="atLeast"/>
        <w:rPr>
          <w:rFonts w:ascii="Arial" w:eastAsiaTheme="minorEastAsia" w:hAnsiTheme="minorHAnsi" w:cstheme="minorBidi"/>
          <w:color w:val="FF0000"/>
          <w:sz w:val="2"/>
          <w:szCs w:val="22"/>
          <w:lang w:val="en-US" w:eastAsia="en-US" w:bidi="ar-SA"/>
        </w:rPr>
      </w:pPr>
      <w:bookmarkStart w:id="124" w:name="br1_123"/>
      <w:bookmarkEnd w:id="12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07" w:x="200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w:t>
      </w:r>
    </w:p>
    <w:p>
      <w:pPr>
        <w:framePr w:w="1507" w:x="200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718" w:x="5336" w:y="1547"/>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1718" w:x="5336"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718" w:x="5336"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374,789,113.33</w:t>
      </w:r>
    </w:p>
    <w:p>
      <w:pPr>
        <w:framePr w:w="1718" w:x="7230" w:y="1547"/>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1718" w:x="7230"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718" w:x="7230"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374,789,113.33</w:t>
      </w:r>
    </w:p>
    <w:p>
      <w:pPr>
        <w:framePr w:w="1085" w:x="2009"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718" w:x="2009"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生产性生物资产</w:t>
      </w:r>
    </w:p>
    <w:p>
      <w:pPr>
        <w:framePr w:w="1718" w:x="2009" w:y="23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油气资产</w:t>
      </w:r>
    </w:p>
    <w:p>
      <w:pPr>
        <w:framePr w:w="1296" w:x="2009"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使用权资产</w:t>
      </w:r>
    </w:p>
    <w:p>
      <w:pPr>
        <w:framePr w:w="1085" w:x="2009"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1718" w:x="5336"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118,694,309.33</w:t>
      </w:r>
    </w:p>
    <w:p>
      <w:pPr>
        <w:framePr w:w="1718" w:x="7230"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118,694,309.33</w:t>
      </w:r>
    </w:p>
    <w:p>
      <w:pPr>
        <w:framePr w:w="1085" w:x="2009" w:y="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开发支出</w:t>
      </w:r>
    </w:p>
    <w:p>
      <w:pPr>
        <w:framePr w:w="662" w:x="2009" w:y="38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商誉</w:t>
      </w:r>
    </w:p>
    <w:p>
      <w:pPr>
        <w:framePr w:w="1923" w:x="2009" w:y="4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w:t>
      </w:r>
    </w:p>
    <w:p>
      <w:pPr>
        <w:framePr w:w="1923" w:x="2009" w:y="408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w:t>
      </w:r>
    </w:p>
    <w:p>
      <w:pPr>
        <w:framePr w:w="1923" w:x="2009" w:y="408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其他非流动资产</w:t>
      </w:r>
    </w:p>
    <w:p>
      <w:pPr>
        <w:framePr w:w="1923" w:x="2009" w:y="4087"/>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非流动资产合计</w:t>
      </w:r>
    </w:p>
    <w:p>
      <w:pPr>
        <w:framePr w:w="1923" w:x="2009" w:y="4087"/>
        <w:widowControl w:val="0"/>
        <w:autoSpaceDE w:val="0"/>
        <w:autoSpaceDN w:val="0"/>
        <w:spacing w:before="73"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资产总计</w:t>
      </w:r>
    </w:p>
    <w:p>
      <w:pPr>
        <w:framePr w:w="1718" w:x="5336" w:y="4370"/>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9,731,431.83</w:t>
      </w:r>
    </w:p>
    <w:p>
      <w:pPr>
        <w:framePr w:w="1718" w:x="5336" w:y="437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48,142,666.64</w:t>
      </w:r>
    </w:p>
    <w:p>
      <w:pPr>
        <w:framePr w:w="1718" w:x="5336" w:y="437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891,639,864.53</w:t>
      </w:r>
    </w:p>
    <w:p>
      <w:pPr>
        <w:framePr w:w="1718" w:x="7230" w:y="4370"/>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9,731,431.83</w:t>
      </w:r>
    </w:p>
    <w:p>
      <w:pPr>
        <w:framePr w:w="1718" w:x="7230" w:y="437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48,142,666.64</w:t>
      </w:r>
    </w:p>
    <w:p>
      <w:pPr>
        <w:framePr w:w="1718" w:x="7230" w:y="437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891,639,864.53</w:t>
      </w:r>
    </w:p>
    <w:p>
      <w:pPr>
        <w:framePr w:w="3817" w:x="5127" w:y="5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2,304,145,473.28</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2,304,145,473.28</w:t>
      </w:r>
    </w:p>
    <w:p>
      <w:pPr>
        <w:framePr w:w="1296" w:x="1798" w:y="55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流动负债：</w:t>
      </w:r>
    </w:p>
    <w:p>
      <w:pPr>
        <w:framePr w:w="1085" w:x="2009" w:y="57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w:t>
      </w:r>
    </w:p>
    <w:p>
      <w:pPr>
        <w:framePr w:w="1613" w:x="5442" w:y="57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40,000,000.00</w:t>
      </w:r>
    </w:p>
    <w:p>
      <w:pPr>
        <w:framePr w:w="1613" w:x="5442" w:y="5782"/>
        <w:widowControl w:val="0"/>
        <w:autoSpaceDE w:val="0"/>
        <w:autoSpaceDN w:val="0"/>
        <w:spacing w:before="636"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613" w:x="7336" w:y="57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40,000,000.00</w:t>
      </w:r>
    </w:p>
    <w:p>
      <w:pPr>
        <w:framePr w:w="1613" w:x="7336" w:y="5782"/>
        <w:widowControl w:val="0"/>
        <w:autoSpaceDE w:val="0"/>
        <w:autoSpaceDN w:val="0"/>
        <w:spacing w:before="636"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718" w:x="2009" w:y="60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向中央银行借款</w:t>
      </w:r>
    </w:p>
    <w:p>
      <w:pPr>
        <w:framePr w:w="1718" w:x="2009" w:y="606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拆入资金</w:t>
      </w:r>
    </w:p>
    <w:p>
      <w:pPr>
        <w:framePr w:w="1718" w:x="2009" w:y="66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718" w:x="2009" w:y="66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718" w:x="2009" w:y="66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1718" w:x="5336" w:y="71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1718" w:x="5336" w:y="71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205,145,130.91</w:t>
      </w:r>
    </w:p>
    <w:p>
      <w:pPr>
        <w:framePr w:w="1718" w:x="5336" w:y="719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1718" w:x="7230" w:y="71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1718" w:x="7230" w:y="71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205,145,130.91</w:t>
      </w:r>
    </w:p>
    <w:p>
      <w:pPr>
        <w:framePr w:w="1085" w:x="2009" w:y="74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1085" w:x="2009" w:y="77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预收款项</w:t>
      </w:r>
    </w:p>
    <w:p>
      <w:pPr>
        <w:framePr w:w="1718" w:x="9148" w:y="7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1718" w:x="9148" w:y="7759"/>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82,730,306.24</w:t>
      </w:r>
    </w:p>
    <w:p>
      <w:pPr>
        <w:framePr w:w="1085" w:x="2009" w:y="8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w:t>
      </w:r>
    </w:p>
    <w:p>
      <w:pPr>
        <w:framePr w:w="1613" w:x="7336" w:y="80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82,730,306.24</w:t>
      </w:r>
    </w:p>
    <w:p>
      <w:pPr>
        <w:framePr w:w="2141" w:x="2009" w:y="83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卖出回购金融资产款</w:t>
      </w:r>
    </w:p>
    <w:p>
      <w:pPr>
        <w:framePr w:w="2141" w:x="2009" w:y="832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吸收存款及同业存放</w:t>
      </w:r>
    </w:p>
    <w:p>
      <w:pPr>
        <w:framePr w:w="2141" w:x="2009" w:y="832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代理买卖证券款</w:t>
      </w:r>
    </w:p>
    <w:p>
      <w:pPr>
        <w:framePr w:w="2141" w:x="2009" w:y="832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代理承销证券款</w:t>
      </w:r>
    </w:p>
    <w:p>
      <w:pPr>
        <w:framePr w:w="2141" w:x="2009" w:y="832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应付职工薪酬</w:t>
      </w:r>
    </w:p>
    <w:p>
      <w:pPr>
        <w:framePr w:w="2141" w:x="2009" w:y="832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1613" w:x="5442" w:y="94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p>
    <w:p>
      <w:pPr>
        <w:framePr w:w="1613" w:x="5442" w:y="945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1613" w:x="5442" w:y="945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613" w:x="7336" w:y="94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p>
    <w:p>
      <w:pPr>
        <w:framePr w:w="1613" w:x="7336" w:y="945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1613" w:x="7336" w:y="945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296" w:x="2009" w:y="100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718" w:x="2009" w:y="103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其中：应付利息</w:t>
      </w:r>
    </w:p>
    <w:p>
      <w:pPr>
        <w:framePr w:w="1718" w:x="2009" w:y="10302"/>
        <w:widowControl w:val="0"/>
        <w:autoSpaceDE w:val="0"/>
        <w:autoSpaceDN w:val="0"/>
        <w:spacing w:before="70"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2765" w:x="1798" w:y="10865"/>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应付手续费及佣金</w:t>
      </w:r>
    </w:p>
    <w:p>
      <w:pPr>
        <w:framePr w:w="2765" w:x="1798" w:y="10865"/>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应付分保账款</w:t>
      </w:r>
    </w:p>
    <w:p>
      <w:pPr>
        <w:framePr w:w="2765" w:x="1798" w:y="10865"/>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持有待售负债</w:t>
      </w:r>
    </w:p>
    <w:p>
      <w:pPr>
        <w:framePr w:w="2765" w:x="1798" w:y="10865"/>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一年内到期的非流动负债</w:t>
      </w:r>
    </w:p>
    <w:p>
      <w:pPr>
        <w:framePr w:w="2765" w:x="1798" w:y="10865"/>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w:t>
      </w:r>
    </w:p>
    <w:p>
      <w:pPr>
        <w:framePr w:w="2765" w:x="1798" w:y="10865"/>
        <w:widowControl w:val="0"/>
        <w:autoSpaceDE w:val="0"/>
        <w:autoSpaceDN w:val="0"/>
        <w:spacing w:before="73"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流动负债合计</w:t>
      </w:r>
    </w:p>
    <w:p>
      <w:pPr>
        <w:framePr w:w="2765" w:x="1798" w:y="1086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非流动负债：</w:t>
      </w:r>
    </w:p>
    <w:p>
      <w:pPr>
        <w:framePr w:w="2765" w:x="1798" w:y="10865"/>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保险合同准备金</w:t>
      </w:r>
    </w:p>
    <w:p>
      <w:pPr>
        <w:framePr w:w="2765" w:x="1798" w:y="10865"/>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1718" w:x="5336" w:y="1171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1718" w:x="5336" w:y="11713"/>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588,425,390.84</w:t>
      </w:r>
    </w:p>
    <w:p>
      <w:pPr>
        <w:framePr w:w="1613" w:x="7336" w:y="11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1613" w:x="7336" w:y="1171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4,964,009.23</w:t>
      </w:r>
    </w:p>
    <w:p>
      <w:pPr>
        <w:framePr w:w="1507" w:x="9360" w:y="119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4,964,009.23</w:t>
      </w:r>
    </w:p>
    <w:p>
      <w:pPr>
        <w:framePr w:w="1718" w:x="7230" w:y="122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588,425,390.84</w:t>
      </w:r>
    </w:p>
    <w:p>
      <w:pPr>
        <w:framePr w:w="1718" w:x="5336" w:y="131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1718" w:x="7230" w:y="131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1085" w:x="2009" w:y="134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应付债券</w:t>
      </w:r>
    </w:p>
    <w:p>
      <w:pPr>
        <w:framePr w:w="1507" w:x="2009" w:y="136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1507" w:x="2009" w:y="13688"/>
        <w:widowControl w:val="0"/>
        <w:autoSpaceDE w:val="0"/>
        <w:autoSpaceDN w:val="0"/>
        <w:spacing w:before="72"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085" w:x="2009" w:y="142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租赁负债</w:t>
      </w:r>
    </w:p>
    <w:p>
      <w:pPr>
        <w:framePr w:w="1296" w:x="2009" w:y="145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1930" w:x="2009" w:y="14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长期应付职工薪酬</w:t>
      </w:r>
    </w:p>
    <w:p>
      <w:pPr>
        <w:framePr w:w="1930" w:x="2009" w:y="1481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1613" w:x="5442" w:y="151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1613" w:x="7336" w:y="151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78" type="#_x0000_t75" style="width:445.6pt;height:2.7pt;margin-top:53.65pt;margin-left:87.45pt;mso-position-horizontal-relative:page;mso-position-vertical-relative:page;position:absolute;z-index:-251387904">
            <v:imagedata r:id="rId195" o:title=""/>
          </v:shape>
        </w:pict>
      </w:r>
      <w:r>
        <w:rPr>
          <w:noProof/>
        </w:rPr>
        <w:pict>
          <v:shape id="_x0000_s1279" type="#_x0000_t75" style="width:454.5pt;height:694.4pt;margin-top:74.3pt;margin-left:83.25pt;mso-position-horizontal-relative:page;mso-position-vertical-relative:page;position:absolute;z-index:-251531264">
            <v:imagedata r:id="rId196" o:title=""/>
          </v:shape>
        </w:pict>
      </w:r>
    </w:p>
    <w:p>
      <w:pPr>
        <w:spacing w:line="0" w:lineRule="atLeast"/>
        <w:rPr>
          <w:rFonts w:ascii="Arial" w:eastAsiaTheme="minorEastAsia" w:hAnsiTheme="minorHAnsi" w:cstheme="minorBidi"/>
          <w:color w:val="FF0000"/>
          <w:sz w:val="2"/>
          <w:szCs w:val="22"/>
          <w:lang w:val="en-US" w:eastAsia="en-US" w:bidi="ar-SA"/>
        </w:rPr>
      </w:pPr>
      <w:bookmarkStart w:id="125" w:name="br1_124"/>
      <w:bookmarkEnd w:id="12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200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613" w:x="544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p>
    <w:p>
      <w:pPr>
        <w:framePr w:w="1613" w:x="5442" w:y="1547"/>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102,871.18</w:t>
      </w:r>
    </w:p>
    <w:p>
      <w:pPr>
        <w:framePr w:w="1613" w:x="733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p>
    <w:p>
      <w:pPr>
        <w:framePr w:w="1613" w:x="7336" w:y="1547"/>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102,871.18</w:t>
      </w:r>
    </w:p>
    <w:p>
      <w:pPr>
        <w:framePr w:w="1923" w:x="2009"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923" w:x="2009"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其他非流动负债</w:t>
      </w:r>
    </w:p>
    <w:p>
      <w:pPr>
        <w:framePr w:w="1923" w:x="2009" w:y="1829"/>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非流动负债合计</w:t>
      </w:r>
    </w:p>
    <w:p>
      <w:pPr>
        <w:framePr w:w="1923" w:x="2009" w:y="1829"/>
        <w:widowControl w:val="0"/>
        <w:autoSpaceDE w:val="0"/>
        <w:autoSpaceDN w:val="0"/>
        <w:spacing w:before="7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负债合计</w:t>
      </w:r>
    </w:p>
    <w:p>
      <w:pPr>
        <w:framePr w:w="1718" w:x="5336"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158,543,701.74</w:t>
      </w:r>
    </w:p>
    <w:p>
      <w:pPr>
        <w:framePr w:w="1718" w:x="5336" w:y="239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746,969,092.58</w:t>
      </w:r>
    </w:p>
    <w:p>
      <w:pPr>
        <w:framePr w:w="1718" w:x="7230"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158,543,701.74</w:t>
      </w:r>
    </w:p>
    <w:p>
      <w:pPr>
        <w:framePr w:w="1718" w:x="7230" w:y="239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746,969,092.58</w:t>
      </w:r>
    </w:p>
    <w:p>
      <w:pPr>
        <w:framePr w:w="2986" w:x="1798"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所有者权益（或股东权益）：</w:t>
      </w:r>
    </w:p>
    <w:p>
      <w:pPr>
        <w:framePr w:w="2986" w:x="1798" w:y="2959"/>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实收资本（或股本）</w:t>
      </w:r>
    </w:p>
    <w:p>
      <w:pPr>
        <w:framePr w:w="2986" w:x="1798" w:y="295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w:t>
      </w:r>
    </w:p>
    <w:p>
      <w:pPr>
        <w:framePr w:w="2986" w:x="1798" w:y="295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2986" w:x="1798" w:y="2959"/>
        <w:widowControl w:val="0"/>
        <w:autoSpaceDE w:val="0"/>
        <w:autoSpaceDN w:val="0"/>
        <w:spacing w:before="70" w:line="211" w:lineRule="exact"/>
        <w:ind w:left="8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718" w:x="5336"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718" w:x="7230"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085" w:x="2009" w:y="43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资本公积</w:t>
      </w:r>
    </w:p>
    <w:p>
      <w:pPr>
        <w:framePr w:w="1718" w:x="5336" w:y="43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445,021,562.58</w:t>
      </w:r>
    </w:p>
    <w:p>
      <w:pPr>
        <w:framePr w:w="1718" w:x="7230" w:y="43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445,021,562.58</w:t>
      </w:r>
    </w:p>
    <w:p>
      <w:pPr>
        <w:framePr w:w="1296" w:x="2009" w:y="4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减：库存股</w:t>
      </w:r>
    </w:p>
    <w:p>
      <w:pPr>
        <w:framePr w:w="1507" w:x="2009" w:y="49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w:t>
      </w:r>
    </w:p>
    <w:p>
      <w:pPr>
        <w:framePr w:w="1507" w:x="2009" w:y="4934"/>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1613" w:x="5442" w:y="5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613" w:x="5442" w:y="521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613" w:x="7336" w:y="5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613" w:x="7336" w:y="521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085" w:x="2009" w:y="55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w:t>
      </w:r>
    </w:p>
    <w:p>
      <w:pPr>
        <w:framePr w:w="1507" w:x="2009" w:y="57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一般风险准备</w:t>
      </w:r>
    </w:p>
    <w:p>
      <w:pPr>
        <w:framePr w:w="1507" w:x="2009" w:y="57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未分配利润</w:t>
      </w:r>
    </w:p>
    <w:p>
      <w:pPr>
        <w:framePr w:w="1718" w:x="5336" w:y="60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1718" w:x="7230" w:y="60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6935" w:x="2009" w:y="63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归属于母公司所有者权益（或</w:t>
      </w:r>
      <w:r>
        <w:rPr>
          <w:rFonts w:eastAsiaTheme="minorEastAsia" w:hAnsiTheme="minorHAnsi" w:cstheme="minorBidi"/>
          <w:color w:val="000000"/>
          <w:spacing w:val="33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1,557,176,380.70</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1,557,176,380.70</w:t>
      </w:r>
    </w:p>
    <w:p>
      <w:pPr>
        <w:framePr w:w="1718" w:x="1798" w:y="66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股东权益）合计</w:t>
      </w:r>
    </w:p>
    <w:p>
      <w:pPr>
        <w:framePr w:w="1718" w:x="1798" w:y="661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少数股东权益</w:t>
      </w:r>
    </w:p>
    <w:p>
      <w:pPr>
        <w:framePr w:w="3183" w:x="1798" w:y="718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所有者权益（或股东权益）</w:t>
      </w:r>
    </w:p>
    <w:p>
      <w:pPr>
        <w:framePr w:w="3183" w:x="1798" w:y="718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817" w:x="5127" w:y="71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1,557,176,380.70</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1,557,176,380.70</w:t>
      </w:r>
    </w:p>
    <w:p>
      <w:pPr>
        <w:framePr w:w="6515" w:x="2429" w:y="77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负债和所有者权益（或股</w:t>
      </w:r>
      <w:r>
        <w:rPr>
          <w:rFonts w:eastAsiaTheme="minorEastAsia" w:hAnsiTheme="minorHAnsi" w:cstheme="minorBidi"/>
          <w:color w:val="000000"/>
          <w:spacing w:val="33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2,304,145,473.28</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2,304,145,473.28</w:t>
      </w:r>
    </w:p>
    <w:p>
      <w:pPr>
        <w:framePr w:w="1507" w:x="1798" w:y="80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东权益）总计</w:t>
      </w:r>
    </w:p>
    <w:p>
      <w:pPr>
        <w:framePr w:w="2563" w:x="1798" w:y="8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各项目调整情况的说明：</w:t>
      </w:r>
    </w:p>
    <w:p>
      <w:pPr>
        <w:framePr w:w="2563" w:x="1798" w:y="856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0" w:x="5375" w:y="93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母公司资产负债表</w:t>
      </w:r>
    </w:p>
    <w:p>
      <w:pPr>
        <w:framePr w:w="3632" w:x="7242" w:y="9656"/>
        <w:widowControl w:val="0"/>
        <w:autoSpaceDE w:val="0"/>
        <w:autoSpaceDN w:val="0"/>
        <w:spacing w:line="211" w:lineRule="exact"/>
        <w:ind w:left="129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3632" w:x="7242" w:y="965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日</w:t>
      </w:r>
      <w:r>
        <w:rPr>
          <w:rFonts w:eastAsiaTheme="minorEastAsia" w:hAnsiTheme="minorHAnsi" w:cstheme="minorBidi"/>
          <w:color w:val="000000"/>
          <w:spacing w:val="70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调整数</w:t>
      </w:r>
    </w:p>
    <w:p>
      <w:pPr>
        <w:framePr w:w="1884" w:x="1798" w:y="9939"/>
        <w:widowControl w:val="0"/>
        <w:autoSpaceDE w:val="0"/>
        <w:autoSpaceDN w:val="0"/>
        <w:spacing w:line="211" w:lineRule="exact"/>
        <w:ind w:left="122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84" w:x="1798" w:y="993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流动资产：</w:t>
      </w:r>
    </w:p>
    <w:p>
      <w:pPr>
        <w:framePr w:w="1983" w:x="5043" w:y="99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p>
    <w:p>
      <w:pPr>
        <w:framePr w:w="1085" w:x="2009" w:y="105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718" w:x="5480" w:y="105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301,620,107.59</w:t>
      </w:r>
    </w:p>
    <w:p>
      <w:pPr>
        <w:framePr w:w="1718" w:x="5480" w:y="1050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55,700,000.00</w:t>
      </w:r>
    </w:p>
    <w:p>
      <w:pPr>
        <w:framePr w:w="1718" w:x="7377" w:y="105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301,620,107.59</w:t>
      </w:r>
    </w:p>
    <w:p>
      <w:pPr>
        <w:framePr w:w="1718" w:x="7377" w:y="1050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55,700,000.00</w:t>
      </w:r>
    </w:p>
    <w:p>
      <w:pPr>
        <w:framePr w:w="1718" w:x="2009" w:y="107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718" w:x="2009" w:y="1078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718" w:x="2009" w:y="1078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718" w:x="5480" w:y="11350"/>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w:t>
      </w:r>
    </w:p>
    <w:p>
      <w:pPr>
        <w:framePr w:w="1718" w:x="5480" w:y="1135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186,562,689.47</w:t>
      </w:r>
    </w:p>
    <w:p>
      <w:pPr>
        <w:framePr w:w="1718" w:x="5480" w:y="1135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43,532,653.90</w:t>
      </w:r>
    </w:p>
    <w:p>
      <w:pPr>
        <w:framePr w:w="1718" w:x="5480" w:y="1135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138,947,809.00</w:t>
      </w:r>
    </w:p>
    <w:p>
      <w:pPr>
        <w:framePr w:w="1718" w:x="5480" w:y="1135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1718" w:x="7377" w:y="11350"/>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w:t>
      </w:r>
    </w:p>
    <w:p>
      <w:pPr>
        <w:framePr w:w="1718" w:x="7377" w:y="1135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186,562,689.47</w:t>
      </w:r>
    </w:p>
    <w:p>
      <w:pPr>
        <w:framePr w:w="1718" w:x="7377" w:y="1135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43,532,653.90</w:t>
      </w:r>
    </w:p>
    <w:p>
      <w:pPr>
        <w:framePr w:w="1718" w:x="7377" w:y="1135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138,947,809.00</w:t>
      </w:r>
    </w:p>
    <w:p>
      <w:pPr>
        <w:framePr w:w="1718" w:x="7377" w:y="1135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1085" w:x="2009" w:y="116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507" w:x="2009" w:y="119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w:t>
      </w:r>
    </w:p>
    <w:p>
      <w:pPr>
        <w:framePr w:w="1507" w:x="2009" w:y="1191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296" w:x="2009" w:y="124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718" w:x="2009" w:y="12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其中：应收利息</w:t>
      </w:r>
    </w:p>
    <w:p>
      <w:pPr>
        <w:framePr w:w="1718" w:x="2009" w:y="12762"/>
        <w:widowControl w:val="0"/>
        <w:autoSpaceDE w:val="0"/>
        <w:autoSpaceDN w:val="0"/>
        <w:spacing w:before="72"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662" w:x="2009" w:y="133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1718" w:x="5480" w:y="133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162,745,047.66</w:t>
      </w:r>
    </w:p>
    <w:p>
      <w:pPr>
        <w:framePr w:w="1718" w:x="7377" w:y="133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162,745,047.66</w:t>
      </w:r>
    </w:p>
    <w:p>
      <w:pPr>
        <w:framePr w:w="1085" w:x="2009" w:y="136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2765" w:x="1798" w:y="13892"/>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持有待售资产</w:t>
      </w:r>
    </w:p>
    <w:p>
      <w:pPr>
        <w:framePr w:w="2765" w:x="1798" w:y="13892"/>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w:t>
      </w:r>
    </w:p>
    <w:p>
      <w:pPr>
        <w:framePr w:w="2765" w:x="1798" w:y="13892"/>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其他流动资产</w:t>
      </w:r>
    </w:p>
    <w:p>
      <w:pPr>
        <w:framePr w:w="2765" w:x="1798" w:y="13892"/>
        <w:widowControl w:val="0"/>
        <w:autoSpaceDE w:val="0"/>
        <w:autoSpaceDN w:val="0"/>
        <w:spacing w:before="7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流动资产合计</w:t>
      </w:r>
    </w:p>
    <w:p>
      <w:pPr>
        <w:framePr w:w="2765" w:x="1798" w:y="1389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非流动资产：</w:t>
      </w:r>
    </w:p>
    <w:p>
      <w:pPr>
        <w:framePr w:w="1507" w:x="5691" w:y="144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4,401,283.22</w:t>
      </w:r>
    </w:p>
    <w:p>
      <w:pPr>
        <w:framePr w:w="1507" w:x="7588" w:y="144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4,401,283.22</w:t>
      </w:r>
    </w:p>
    <w:p>
      <w:pPr>
        <w:framePr w:w="3819" w:x="5271" w:y="147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1,076,508,666.04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1,076,508,666.04</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80" type="#_x0000_t75" style="width:445.6pt;height:2.7pt;margin-top:53.65pt;margin-left:87.45pt;mso-position-horizontal-relative:page;mso-position-vertical-relative:page;position:absolute;z-index:-251282432">
            <v:imagedata r:id="rId197" o:title=""/>
          </v:shape>
        </w:pict>
      </w:r>
      <w:r>
        <w:rPr>
          <w:noProof/>
        </w:rPr>
        <w:pict>
          <v:shape id="_x0000_s1281" type="#_x0000_t75" style="width:454.5pt;height:339.95pt;margin-top:74.3pt;margin-left:83.25pt;mso-position-horizontal-relative:page;mso-position-vertical-relative:page;position:absolute;z-index:-251386880">
            <v:imagedata r:id="rId198" o:title=""/>
          </v:shape>
        </w:pict>
      </w:r>
      <w:r>
        <w:rPr>
          <w:noProof/>
        </w:rPr>
        <w:pict>
          <v:shape id="_x0000_s1282" type="#_x0000_t75" style="width:454.95pt;height:270.85pt;margin-top:493.85pt;margin-left:83.25pt;mso-position-horizontal-relative:page;mso-position-vertical-relative:page;position:absolute;z-index:-251530240">
            <v:imagedata r:id="rId199" o:title=""/>
          </v:shape>
        </w:pict>
      </w:r>
    </w:p>
    <w:p>
      <w:pPr>
        <w:spacing w:line="0" w:lineRule="atLeast"/>
        <w:rPr>
          <w:rFonts w:ascii="Arial" w:eastAsiaTheme="minorEastAsia" w:hAnsiTheme="minorHAnsi" w:cstheme="minorBidi"/>
          <w:color w:val="FF0000"/>
          <w:sz w:val="2"/>
          <w:szCs w:val="22"/>
          <w:lang w:val="en-US" w:eastAsia="en-US" w:bidi="ar-SA"/>
        </w:rPr>
      </w:pPr>
      <w:bookmarkStart w:id="126" w:name="br1_125"/>
      <w:bookmarkEnd w:id="12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141" w:x="200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w:t>
      </w:r>
    </w:p>
    <w:p>
      <w:pPr>
        <w:framePr w:w="2141" w:x="200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w:t>
      </w:r>
    </w:p>
    <w:p>
      <w:pPr>
        <w:framePr w:w="2141" w:x="2009"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长期应收款</w:t>
      </w:r>
    </w:p>
    <w:p>
      <w:pPr>
        <w:framePr w:w="2141" w:x="2009"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w:t>
      </w:r>
    </w:p>
    <w:p>
      <w:pPr>
        <w:framePr w:w="2141" w:x="200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w:t>
      </w:r>
    </w:p>
    <w:p>
      <w:pPr>
        <w:framePr w:w="2141" w:x="2009"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其他非流动金融资产</w:t>
      </w:r>
    </w:p>
    <w:p>
      <w:pPr>
        <w:framePr w:w="2141" w:x="200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w:t>
      </w:r>
    </w:p>
    <w:p>
      <w:pPr>
        <w:framePr w:w="2141" w:x="2009"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718" w:x="5480"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7377"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613" w:x="5586"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36,073,715.34</w:t>
      </w:r>
    </w:p>
    <w:p>
      <w:pPr>
        <w:framePr w:w="1613" w:x="5586" w:y="3523"/>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121,061.32</w:t>
      </w:r>
    </w:p>
    <w:p>
      <w:pPr>
        <w:framePr w:w="1613" w:x="7482"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36,073,715.34</w:t>
      </w:r>
    </w:p>
    <w:p>
      <w:pPr>
        <w:framePr w:w="1613" w:x="7482" w:y="3523"/>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121,061.32</w:t>
      </w:r>
    </w:p>
    <w:p>
      <w:pPr>
        <w:framePr w:w="1085" w:x="2009" w:y="38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718" w:x="2009" w:y="4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生产性生物资产</w:t>
      </w:r>
    </w:p>
    <w:p>
      <w:pPr>
        <w:framePr w:w="1718" w:x="2009" w:y="408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油气资产</w:t>
      </w:r>
    </w:p>
    <w:p>
      <w:pPr>
        <w:framePr w:w="1296" w:x="2009" w:y="4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使用权资产</w:t>
      </w:r>
    </w:p>
    <w:p>
      <w:pPr>
        <w:framePr w:w="1296" w:x="2009" w:y="46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1507" w:x="5691" w:y="49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2,838,406.99</w:t>
      </w:r>
    </w:p>
    <w:p>
      <w:pPr>
        <w:framePr w:w="1507" w:x="7588" w:y="49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2,838,406.99</w:t>
      </w:r>
    </w:p>
    <w:p>
      <w:pPr>
        <w:framePr w:w="1085" w:x="2009" w:y="5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开发支出</w:t>
      </w:r>
    </w:p>
    <w:p>
      <w:pPr>
        <w:framePr w:w="662" w:x="2009" w:y="55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商誉</w:t>
      </w:r>
    </w:p>
    <w:p>
      <w:pPr>
        <w:framePr w:w="1923" w:x="2009" w:y="57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w:t>
      </w:r>
    </w:p>
    <w:p>
      <w:pPr>
        <w:framePr w:w="1923" w:x="2009" w:y="57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w:t>
      </w:r>
    </w:p>
    <w:p>
      <w:pPr>
        <w:framePr w:w="1923" w:x="2009" w:y="57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其他非流动资产</w:t>
      </w:r>
    </w:p>
    <w:p>
      <w:pPr>
        <w:framePr w:w="1923" w:x="2009" w:y="5782"/>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非流动资产合计</w:t>
      </w:r>
    </w:p>
    <w:p>
      <w:pPr>
        <w:framePr w:w="1923" w:x="2009" w:y="5782"/>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资产总计</w:t>
      </w:r>
    </w:p>
    <w:p>
      <w:pPr>
        <w:framePr w:w="1507" w:x="5691" w:y="60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4,491,824.02</w:t>
      </w:r>
    </w:p>
    <w:p>
      <w:pPr>
        <w:framePr w:w="1507" w:x="5691" w:y="6065"/>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222,495.12</w:t>
      </w:r>
    </w:p>
    <w:p>
      <w:pPr>
        <w:framePr w:w="1507" w:x="7588" w:y="60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4,491,824.02</w:t>
      </w:r>
    </w:p>
    <w:p>
      <w:pPr>
        <w:framePr w:w="1507" w:x="7588" w:y="6065"/>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222,495.12</w:t>
      </w:r>
    </w:p>
    <w:p>
      <w:pPr>
        <w:framePr w:w="1718" w:x="5480" w:y="66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500,613,674.12</w:t>
      </w:r>
    </w:p>
    <w:p>
      <w:pPr>
        <w:framePr w:w="1718" w:x="7377" w:y="66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500,613,674.12</w:t>
      </w:r>
    </w:p>
    <w:p>
      <w:pPr>
        <w:framePr w:w="3819" w:x="5271" w:y="69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1,577,122,340.16</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1,577,122,340.16</w:t>
      </w:r>
    </w:p>
    <w:p>
      <w:pPr>
        <w:framePr w:w="1296" w:x="1798" w:y="7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流动负债：</w:t>
      </w:r>
    </w:p>
    <w:p>
      <w:pPr>
        <w:framePr w:w="1296" w:x="1798" w:y="719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w:t>
      </w:r>
    </w:p>
    <w:p>
      <w:pPr>
        <w:framePr w:w="1718" w:x="2009" w:y="77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718" w:x="2009" w:y="775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718" w:x="2009" w:y="77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1507" w:x="5691" w:y="7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507" w:x="7588" w:y="7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718" w:x="5480" w:y="83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130,000,000.00</w:t>
      </w:r>
    </w:p>
    <w:p>
      <w:pPr>
        <w:framePr w:w="1718" w:x="5480" w:y="832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38,659,641.44</w:t>
      </w:r>
    </w:p>
    <w:p>
      <w:pPr>
        <w:framePr w:w="1718" w:x="5480" w:y="832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35,812,891.19</w:t>
      </w:r>
    </w:p>
    <w:p>
      <w:pPr>
        <w:framePr w:w="1718" w:x="7377" w:y="83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130,000,000.00</w:t>
      </w:r>
    </w:p>
    <w:p>
      <w:pPr>
        <w:framePr w:w="1718" w:x="7377" w:y="832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38,659,641.44</w:t>
      </w:r>
    </w:p>
    <w:p>
      <w:pPr>
        <w:framePr w:w="1085" w:x="2009" w:y="86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1085" w:x="2009" w:y="88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预收款项</w:t>
      </w:r>
    </w:p>
    <w:p>
      <w:pPr>
        <w:framePr w:w="1718" w:x="9160" w:y="88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-35,812,891.19</w:t>
      </w:r>
    </w:p>
    <w:p>
      <w:pPr>
        <w:framePr w:w="1718" w:x="9160" w:y="888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32,970,531.87</w:t>
      </w:r>
    </w:p>
    <w:p>
      <w:pPr>
        <w:framePr w:w="1085" w:x="2009" w:y="91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w:t>
      </w:r>
    </w:p>
    <w:p>
      <w:pPr>
        <w:framePr w:w="1613" w:x="7482" w:y="91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32,970,531.87</w:t>
      </w:r>
    </w:p>
    <w:p>
      <w:pPr>
        <w:framePr w:w="1613" w:x="7482" w:y="917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12,887,462.16</w:t>
      </w:r>
    </w:p>
    <w:p>
      <w:pPr>
        <w:framePr w:w="1613" w:x="7482" w:y="917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1,698,987.96</w:t>
      </w:r>
    </w:p>
    <w:p>
      <w:pPr>
        <w:framePr w:w="1613" w:x="7482" w:y="917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3,510,724.59</w:t>
      </w:r>
    </w:p>
    <w:p>
      <w:pPr>
        <w:framePr w:w="1507" w:x="2009" w:y="94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应付职工薪酬</w:t>
      </w:r>
    </w:p>
    <w:p>
      <w:pPr>
        <w:framePr w:w="1507" w:x="2009" w:y="94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1613" w:x="5586" w:y="94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12,887,462.16</w:t>
      </w:r>
    </w:p>
    <w:p>
      <w:pPr>
        <w:framePr w:w="1613" w:x="5586" w:y="945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1,698,987.96</w:t>
      </w:r>
    </w:p>
    <w:p>
      <w:pPr>
        <w:framePr w:w="1613" w:x="5586" w:y="945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3,510,724.59</w:t>
      </w:r>
    </w:p>
    <w:p>
      <w:pPr>
        <w:framePr w:w="1718" w:x="2009" w:y="100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718" w:x="2009" w:y="1001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其中：应付利息</w:t>
      </w:r>
    </w:p>
    <w:p>
      <w:pPr>
        <w:framePr w:w="1718" w:x="2009" w:y="10018"/>
        <w:widowControl w:val="0"/>
        <w:autoSpaceDE w:val="0"/>
        <w:autoSpaceDN w:val="0"/>
        <w:spacing w:before="70"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2765" w:x="1798" w:y="10865"/>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持有待售负债</w:t>
      </w:r>
    </w:p>
    <w:p>
      <w:pPr>
        <w:framePr w:w="2765" w:x="1798" w:y="10865"/>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一年内到期的非流动负债</w:t>
      </w:r>
    </w:p>
    <w:p>
      <w:pPr>
        <w:framePr w:w="2765" w:x="1798" w:y="10865"/>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w:t>
      </w:r>
    </w:p>
    <w:p>
      <w:pPr>
        <w:framePr w:w="2765" w:x="1798" w:y="10865"/>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流动负债合计</w:t>
      </w:r>
    </w:p>
    <w:p>
      <w:pPr>
        <w:framePr w:w="2765" w:x="1798" w:y="1086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非流动负债：</w:t>
      </w:r>
    </w:p>
    <w:p>
      <w:pPr>
        <w:framePr w:w="2765" w:x="1798" w:y="10865"/>
        <w:widowControl w:val="0"/>
        <w:autoSpaceDE w:val="0"/>
        <w:autoSpaceDN w:val="0"/>
        <w:spacing w:before="73"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1507" w:x="7588" w:y="114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2,842,359.32</w:t>
      </w:r>
    </w:p>
    <w:p>
      <w:pPr>
        <w:framePr w:w="1507" w:x="9372" w:y="114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2,842,359.32</w:t>
      </w:r>
    </w:p>
    <w:p>
      <w:pPr>
        <w:framePr w:w="1718" w:x="5480" w:y="11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225,866,977.94</w:t>
      </w:r>
    </w:p>
    <w:p>
      <w:pPr>
        <w:framePr w:w="1718" w:x="7377" w:y="11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225,866,977.94</w:t>
      </w:r>
    </w:p>
    <w:p>
      <w:pPr>
        <w:framePr w:w="1085" w:x="2009" w:y="125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应付债券</w:t>
      </w:r>
    </w:p>
    <w:p>
      <w:pPr>
        <w:framePr w:w="1507" w:x="2009" w:y="128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1507" w:x="2009" w:y="12841"/>
        <w:widowControl w:val="0"/>
        <w:autoSpaceDE w:val="0"/>
        <w:autoSpaceDN w:val="0"/>
        <w:spacing w:before="72"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085" w:x="2009" w:y="134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租赁负债</w:t>
      </w:r>
    </w:p>
    <w:p>
      <w:pPr>
        <w:framePr w:w="1930" w:x="2009" w:y="136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1930" w:x="2009" w:y="136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长期应付职工薪酬</w:t>
      </w:r>
    </w:p>
    <w:p>
      <w:pPr>
        <w:framePr w:w="1930" w:x="2009" w:y="136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1296" w:x="5900" w:y="142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511,059.01</w:t>
      </w:r>
    </w:p>
    <w:p>
      <w:pPr>
        <w:framePr w:w="1296" w:x="5900" w:y="1425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569,030.11</w:t>
      </w:r>
    </w:p>
    <w:p>
      <w:pPr>
        <w:framePr w:w="1296" w:x="5900" w:y="1425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87,635.82</w:t>
      </w:r>
    </w:p>
    <w:p>
      <w:pPr>
        <w:framePr w:w="1296" w:x="7797" w:y="142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511,059.01</w:t>
      </w:r>
    </w:p>
    <w:p>
      <w:pPr>
        <w:framePr w:w="1296" w:x="7797" w:y="1425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569,030.11</w:t>
      </w:r>
    </w:p>
    <w:p>
      <w:pPr>
        <w:framePr w:w="1296" w:x="7797" w:y="1425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87,635.82</w:t>
      </w:r>
    </w:p>
    <w:p>
      <w:pPr>
        <w:framePr w:w="1085" w:x="2009" w:y="145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718" w:x="2009" w:y="14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718" w:x="2009" w:y="1481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其他非流动负债</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83" type="#_x0000_t75" style="width:445.6pt;height:2.7pt;margin-top:53.65pt;margin-left:87.45pt;mso-position-horizontal-relative:page;mso-position-vertical-relative:page;position:absolute;z-index:-251385856">
            <v:imagedata r:id="rId200" o:title=""/>
          </v:shape>
        </w:pict>
      </w:r>
      <w:r>
        <w:rPr>
          <w:noProof/>
        </w:rPr>
        <w:pict>
          <v:shape id="_x0000_s1284" type="#_x0000_t75" style="width:454.95pt;height:694.4pt;margin-top:74.3pt;margin-left:83.25pt;mso-position-horizontal-relative:page;mso-position-vertical-relative:page;position:absolute;z-index:-251529216">
            <v:imagedata r:id="rId201" o:title=""/>
          </v:shape>
        </w:pict>
      </w:r>
    </w:p>
    <w:p>
      <w:pPr>
        <w:spacing w:line="0" w:lineRule="atLeast"/>
        <w:rPr>
          <w:rFonts w:ascii="Arial" w:eastAsiaTheme="minorEastAsia" w:hAnsiTheme="minorHAnsi" w:cstheme="minorBidi"/>
          <w:color w:val="FF0000"/>
          <w:sz w:val="2"/>
          <w:szCs w:val="22"/>
          <w:lang w:val="en-US" w:eastAsia="en-US" w:bidi="ar-SA"/>
        </w:rPr>
      </w:pPr>
      <w:bookmarkStart w:id="127" w:name="br1_126"/>
      <w:bookmarkEnd w:id="12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718" w:x="221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非流动负债合计</w:t>
      </w:r>
    </w:p>
    <w:p>
      <w:pPr>
        <w:framePr w:w="1718" w:x="2218" w:y="1547"/>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负债合计</w:t>
      </w:r>
    </w:p>
    <w:p>
      <w:pPr>
        <w:framePr w:w="1507" w:x="5691"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1,167,724.94</w:t>
      </w:r>
    </w:p>
    <w:p>
      <w:pPr>
        <w:framePr w:w="1507" w:x="758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1,167,724.94</w:t>
      </w:r>
    </w:p>
    <w:p>
      <w:pPr>
        <w:framePr w:w="1718" w:x="5480"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227,034,702.88</w:t>
      </w:r>
    </w:p>
    <w:p>
      <w:pPr>
        <w:framePr w:w="1718" w:x="7377"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227,034,702.88</w:t>
      </w:r>
    </w:p>
    <w:p>
      <w:pPr>
        <w:framePr w:w="2986" w:x="1798"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所有者权益（或股东权益）：</w:t>
      </w:r>
    </w:p>
    <w:p>
      <w:pPr>
        <w:framePr w:w="2986" w:x="1798" w:y="2112"/>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实收资本（或股本）</w:t>
      </w:r>
    </w:p>
    <w:p>
      <w:pPr>
        <w:framePr w:w="2986" w:x="1798" w:y="2112"/>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w:t>
      </w:r>
    </w:p>
    <w:p>
      <w:pPr>
        <w:framePr w:w="2986" w:x="1798" w:y="2112"/>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2986" w:x="1798" w:y="2112"/>
        <w:widowControl w:val="0"/>
        <w:autoSpaceDE w:val="0"/>
        <w:autoSpaceDN w:val="0"/>
        <w:spacing w:before="70" w:line="211" w:lineRule="exact"/>
        <w:ind w:left="8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718" w:x="5480"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718" w:x="5480" w:y="2395"/>
        <w:widowControl w:val="0"/>
        <w:autoSpaceDE w:val="0"/>
        <w:autoSpaceDN w:val="0"/>
        <w:spacing w:before="91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448,515,471.88</w:t>
      </w:r>
    </w:p>
    <w:p>
      <w:pPr>
        <w:framePr w:w="1718" w:x="7377"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718" w:x="7377" w:y="2395"/>
        <w:widowControl w:val="0"/>
        <w:autoSpaceDE w:val="0"/>
        <w:autoSpaceDN w:val="0"/>
        <w:spacing w:before="91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448,515,471.88</w:t>
      </w:r>
    </w:p>
    <w:p>
      <w:pPr>
        <w:framePr w:w="1085" w:x="2009" w:y="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资本公积</w:t>
      </w:r>
    </w:p>
    <w:p>
      <w:pPr>
        <w:framePr w:w="1296" w:x="2009" w:y="38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减：库存股</w:t>
      </w:r>
    </w:p>
    <w:p>
      <w:pPr>
        <w:framePr w:w="1507" w:x="2009" w:y="4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w:t>
      </w:r>
    </w:p>
    <w:p>
      <w:pPr>
        <w:framePr w:w="1507" w:x="2009" w:y="408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1718" w:x="5480" w:y="4370"/>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31,262,063.52</w:t>
      </w:r>
    </w:p>
    <w:p>
      <w:pPr>
        <w:framePr w:w="1718" w:x="5480" w:y="437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56,000,000.00</w:t>
      </w:r>
    </w:p>
    <w:p>
      <w:pPr>
        <w:framePr w:w="1718" w:x="5480" w:y="437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702,310,101.88</w:t>
      </w:r>
    </w:p>
    <w:p>
      <w:pPr>
        <w:framePr w:w="1718" w:x="7377" w:y="4370"/>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31,262,063.52</w:t>
      </w:r>
    </w:p>
    <w:p>
      <w:pPr>
        <w:framePr w:w="1718" w:x="7377" w:y="437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56,000,000.00</w:t>
      </w:r>
    </w:p>
    <w:p>
      <w:pPr>
        <w:framePr w:w="1718" w:x="7377" w:y="437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702,310,101.88</w:t>
      </w:r>
    </w:p>
    <w:p>
      <w:pPr>
        <w:framePr w:w="1085" w:x="2009" w:y="4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w:t>
      </w:r>
    </w:p>
    <w:p>
      <w:pPr>
        <w:framePr w:w="1296" w:x="2009" w:y="49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未分配利润</w:t>
      </w:r>
    </w:p>
    <w:p>
      <w:pPr>
        <w:framePr w:w="3183" w:x="1798" w:y="52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所有者权益（或股东权益）</w:t>
      </w:r>
    </w:p>
    <w:p>
      <w:pPr>
        <w:framePr w:w="3183" w:x="1798" w:y="521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819" w:x="5271" w:y="5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1,350,087,637.28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1,350,087,637.28</w:t>
      </w:r>
    </w:p>
    <w:p>
      <w:pPr>
        <w:framePr w:w="3111" w:x="1798" w:y="5772"/>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负债和所有者权益（或股</w:t>
      </w:r>
    </w:p>
    <w:p>
      <w:pPr>
        <w:framePr w:w="3111" w:x="1798" w:y="577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东权益）总计</w:t>
      </w:r>
    </w:p>
    <w:p>
      <w:pPr>
        <w:framePr w:w="3819" w:x="5271" w:y="57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1,577,122,340.16</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1,577,122,340.16</w:t>
      </w:r>
    </w:p>
    <w:p>
      <w:pPr>
        <w:framePr w:w="2563" w:x="1798" w:y="64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各项目调整情况的说明：</w:t>
      </w:r>
    </w:p>
    <w:p>
      <w:pPr>
        <w:framePr w:w="2563" w:x="1798" w:y="644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465" w:x="1798" w:y="7633"/>
        <w:widowControl w:val="0"/>
        <w:autoSpaceDE w:val="0"/>
        <w:autoSpaceDN w:val="0"/>
        <w:spacing w:line="234"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eastAsiaTheme="minorEastAsia" w:hAnsiTheme="minorHAnsi" w:cstheme="minorBidi"/>
          <w:b/>
          <w:color w:val="000000"/>
          <w:spacing w:val="1"/>
          <w:sz w:val="21"/>
          <w:szCs w:val="22"/>
          <w:lang w:val="en-US" w:eastAsia="en-US" w:bidi="ar-SA"/>
        </w:rPr>
        <w:t>2020</w:t>
      </w:r>
      <w:r>
        <w:rPr>
          <w:rFonts w:eastAsiaTheme="minorEastAsia" w:hAnsiTheme="minorHAnsi" w:cstheme="minorBidi"/>
          <w:b/>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年起首次执行新收入准则、新租赁准则追溯调整前期比较数据的说明</w:t>
      </w:r>
    </w:p>
    <w:p>
      <w:pPr>
        <w:framePr w:w="1817" w:x="1798" w:y="81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85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45.</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90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2" w:x="1798" w:y="9089"/>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六、税项</w:t>
      </w:r>
    </w:p>
    <w:p>
      <w:pPr>
        <w:framePr w:w="2143" w:x="1798" w:y="97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主要税种及税率</w:t>
      </w:r>
    </w:p>
    <w:p>
      <w:pPr>
        <w:framePr w:w="2141" w:x="1798" w:y="100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主要税种及税率情况</w:t>
      </w:r>
    </w:p>
    <w:p>
      <w:pPr>
        <w:framePr w:w="2141" w:x="1798" w:y="1008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2871" w:y="106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税种</w:t>
      </w:r>
    </w:p>
    <w:p>
      <w:pPr>
        <w:framePr w:w="1085" w:x="5624" w:y="106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计税依据</w:t>
      </w:r>
    </w:p>
    <w:p>
      <w:pPr>
        <w:framePr w:w="662" w:x="8968" w:y="106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税率</w:t>
      </w:r>
    </w:p>
    <w:p>
      <w:pPr>
        <w:framePr w:w="874" w:x="1798" w:y="109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增值税</w:t>
      </w:r>
    </w:p>
    <w:p>
      <w:pPr>
        <w:framePr w:w="5699" w:x="4580" w:y="109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销售货物、应税销售服务收入、</w:t>
      </w:r>
      <w:r>
        <w:rPr>
          <w:rFonts w:eastAsiaTheme="minorEastAsia" w:hAnsiTheme="minorHAnsi" w:cstheme="minorBidi"/>
          <w:color w:val="000000"/>
          <w:spacing w:val="14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13%</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6%</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2"/>
          <w:sz w:val="21"/>
          <w:szCs w:val="22"/>
          <w:lang w:val="en-US" w:eastAsia="en-US" w:bidi="ar-SA"/>
        </w:rPr>
        <w:t>3%</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注</w:t>
      </w:r>
    </w:p>
    <w:p>
      <w:pPr>
        <w:framePr w:w="2141" w:x="4580" w:y="111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无形资产或者不动产</w:t>
      </w:r>
    </w:p>
    <w:p>
      <w:pPr>
        <w:framePr w:w="874" w:x="1798" w:y="114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消费税</w:t>
      </w:r>
    </w:p>
    <w:p>
      <w:pPr>
        <w:framePr w:w="874" w:x="1798" w:y="1148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营业税</w:t>
      </w:r>
    </w:p>
    <w:p>
      <w:pPr>
        <w:framePr w:w="1718" w:x="1798" w:y="12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城市维护建设税</w:t>
      </w:r>
    </w:p>
    <w:p>
      <w:pPr>
        <w:framePr w:w="1718" w:x="1798" w:y="12044"/>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教育费附加</w:t>
      </w:r>
    </w:p>
    <w:p>
      <w:pPr>
        <w:framePr w:w="2141" w:x="4580" w:y="12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实缴流转税税额</w:t>
      </w:r>
    </w:p>
    <w:p>
      <w:pPr>
        <w:framePr w:w="2141" w:x="4580" w:y="12044"/>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实缴流转税税额</w:t>
      </w:r>
    </w:p>
    <w:p>
      <w:pPr>
        <w:framePr w:w="2141" w:x="4580" w:y="1204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实缴流转税税额</w:t>
      </w:r>
    </w:p>
    <w:p>
      <w:pPr>
        <w:framePr w:w="2141" w:x="4580" w:y="120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按应纳税所得额计算</w:t>
      </w:r>
    </w:p>
    <w:p>
      <w:pPr>
        <w:framePr w:w="874" w:x="7725" w:y="120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p>
    <w:p>
      <w:pPr>
        <w:framePr w:w="451" w:x="7725" w:y="123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p>
    <w:p>
      <w:pPr>
        <w:framePr w:w="1718" w:x="1798" w:y="126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地方教育费附加</w:t>
      </w:r>
    </w:p>
    <w:p>
      <w:pPr>
        <w:framePr w:w="1718" w:x="1798" w:y="1260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企业所得税</w:t>
      </w:r>
    </w:p>
    <w:p>
      <w:pPr>
        <w:framePr w:w="874" w:x="7725" w:y="126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p>
    <w:p>
      <w:pPr>
        <w:framePr w:w="2880" w:x="7725" w:y="1289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15%</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16.5%</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34%</w:t>
      </w:r>
    </w:p>
    <w:p>
      <w:pPr>
        <w:framePr w:w="8759" w:x="2218" w:y="13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注：本公司原药、制剂产品增值税税率为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z w:val="21"/>
          <w:szCs w:val="22"/>
          <w:lang w:val="en-US" w:eastAsia="en-US" w:bidi="ar-SA"/>
        </w:rPr>
        <w:t>，中间体增值税税率为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w:t>
      </w:r>
      <w:r>
        <w:rPr>
          <w:rFonts w:ascii="SimSun" w:hAnsi="SimSun" w:eastAsiaTheme="minorEastAsia" w:cs="SimSun"/>
          <w:color w:val="000000"/>
          <w:spacing w:val="1"/>
          <w:sz w:val="21"/>
          <w:szCs w:val="22"/>
          <w:lang w:val="en-US" w:eastAsia="en-US" w:bidi="ar-SA"/>
        </w:rPr>
        <w:t>出口产品执行“免、</w:t>
      </w:r>
    </w:p>
    <w:p>
      <w:pPr>
        <w:framePr w:w="1930" w:x="1798" w:y="137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抵、退”税政策。</w:t>
      </w:r>
    </w:p>
    <w:p>
      <w:pPr>
        <w:framePr w:w="5098" w:x="1798" w:y="142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存在不同企业所得税税率纳税主体的，披露情况说明</w:t>
      </w:r>
    </w:p>
    <w:p>
      <w:pPr>
        <w:framePr w:w="5098" w:x="1798" w:y="1423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7" w:x="3949" w:y="150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纳税主体名称</w:t>
      </w:r>
    </w:p>
    <w:p>
      <w:pPr>
        <w:framePr w:w="1824" w:x="8317" w:y="150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所得税税率（</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85" type="#_x0000_t75" style="width:445.6pt;height:2.7pt;margin-top:53.65pt;margin-left:87.45pt;mso-position-horizontal-relative:page;mso-position-vertical-relative:page;position:absolute;z-index:-251213824">
            <v:imagedata r:id="rId202" o:title=""/>
          </v:shape>
        </w:pict>
      </w:r>
      <w:r>
        <w:rPr>
          <w:noProof/>
        </w:rPr>
        <w:pict>
          <v:shape id="_x0000_s1286" type="#_x0000_t75" style="width:454.95pt;height:241.55pt;margin-top:74.3pt;margin-left:83.25pt;mso-position-horizontal-relative:page;mso-position-vertical-relative:page;position:absolute;z-index:-251281408">
            <v:imagedata r:id="rId203" o:title=""/>
          </v:shape>
        </w:pict>
      </w:r>
      <w:r>
        <w:rPr>
          <w:noProof/>
        </w:rPr>
        <w:pict>
          <v:shape id="_x0000_s1287" type="#_x0000_t75" style="width:454.95pt;height:129pt;margin-top:529.15pt;margin-left:83.25pt;mso-position-horizontal-relative:page;mso-position-vertical-relative:page;position:absolute;z-index:-251384832">
            <v:imagedata r:id="rId204" o:title=""/>
          </v:shape>
        </w:pict>
      </w:r>
      <w:r>
        <w:rPr>
          <w:noProof/>
        </w:rPr>
        <w:pict>
          <v:shape id="_x0000_s1288" type="#_x0000_t75" style="width:454.95pt;height:16.5pt;margin-top:749.15pt;margin-left:83.25pt;mso-position-horizontal-relative:page;mso-position-vertical-relative:page;position:absolute;z-index:-251528192">
            <v:imagedata r:id="rId205" o:title=""/>
          </v:shape>
        </w:pict>
      </w:r>
    </w:p>
    <w:p>
      <w:pPr>
        <w:spacing w:line="0" w:lineRule="atLeast"/>
        <w:rPr>
          <w:rFonts w:ascii="Arial" w:eastAsiaTheme="minorEastAsia" w:hAnsiTheme="minorHAnsi" w:cstheme="minorBidi"/>
          <w:color w:val="FF0000"/>
          <w:sz w:val="2"/>
          <w:szCs w:val="22"/>
          <w:lang w:val="en-US" w:eastAsia="en-US" w:bidi="ar-SA"/>
        </w:rPr>
      </w:pPr>
      <w:bookmarkStart w:id="128" w:name="br1_127"/>
      <w:bookmarkEnd w:id="12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141"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山东先达、潍坊先达</w:t>
      </w:r>
    </w:p>
    <w:p>
      <w:pPr>
        <w:framePr w:w="557" w:x="10317"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w:t>
      </w:r>
    </w:p>
    <w:p>
      <w:pPr>
        <w:framePr w:w="557" w:x="10317" w:y="1547"/>
        <w:widowControl w:val="0"/>
        <w:autoSpaceDE w:val="0"/>
        <w:autoSpaceDN w:val="0"/>
        <w:spacing w:before="75"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w:t>
      </w:r>
    </w:p>
    <w:p>
      <w:pPr>
        <w:framePr w:w="3197" w:x="1798" w:y="18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济南先达、辽宁先达、印尼中农</w:t>
      </w:r>
    </w:p>
    <w:p>
      <w:pPr>
        <w:framePr w:w="4886" w:x="1798" w:y="21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济南瑞斯邦、博兴县盛信达、沈阳万菱、沈阳先达</w:t>
      </w:r>
    </w:p>
    <w:p>
      <w:pPr>
        <w:framePr w:w="557" w:x="10317" w:y="21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1085" w:x="1798" w:y="24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w:t>
      </w:r>
    </w:p>
    <w:p>
      <w:pPr>
        <w:framePr w:w="1085" w:x="1798" w:y="2409"/>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巴西光华</w:t>
      </w:r>
    </w:p>
    <w:p>
      <w:pPr>
        <w:framePr w:w="768" w:x="10106" w:y="24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16.5%</w:t>
      </w:r>
    </w:p>
    <w:p>
      <w:pPr>
        <w:framePr w:w="768" w:x="10106" w:y="2409"/>
        <w:widowControl w:val="0"/>
        <w:autoSpaceDE w:val="0"/>
        <w:autoSpaceDN w:val="0"/>
        <w:spacing w:before="74"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w:t>
      </w:r>
    </w:p>
    <w:p>
      <w:pPr>
        <w:framePr w:w="1510" w:x="1798" w:y="33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税收优惠</w:t>
      </w:r>
    </w:p>
    <w:p>
      <w:pPr>
        <w:framePr w:w="1922" w:x="1798" w:y="39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15" w:x="1798" w:y="429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w:t>
      </w:r>
      <w:r>
        <w:rPr>
          <w:rFonts w:ascii="SimSun" w:hAnsi="SimSun" w:eastAsiaTheme="minorEastAsia" w:cs="SimSun"/>
          <w:color w:val="000000"/>
          <w:sz w:val="21"/>
          <w:szCs w:val="22"/>
          <w:lang w:val="en-US" w:eastAsia="en-US" w:bidi="ar-SA"/>
        </w:rPr>
        <w:t>日，本公司被山东省认定机构办公室认定为通过复审的高新技术企业，有效</w:t>
      </w:r>
    </w:p>
    <w:p>
      <w:pPr>
        <w:framePr w:w="9015" w:x="1798" w:y="4291"/>
        <w:widowControl w:val="0"/>
        <w:autoSpaceDE w:val="0"/>
        <w:autoSpaceDN w:val="0"/>
        <w:spacing w:before="199"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期至</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w:t>
      </w:r>
      <w:r>
        <w:rPr>
          <w:rFonts w:ascii="SimSun" w:hAnsi="SimSun" w:eastAsiaTheme="minorEastAsia" w:cs="SimSun"/>
          <w:color w:val="000000"/>
          <w:sz w:val="21"/>
          <w:szCs w:val="22"/>
          <w:lang w:val="en-US" w:eastAsia="en-US" w:bidi="ar-SA"/>
        </w:rPr>
        <w:t>日，证书编号：</w:t>
      </w:r>
      <w:r>
        <w:rPr>
          <w:rFonts w:ascii="SimSun" w:eastAsiaTheme="minorEastAsia" w:hAnsiTheme="minorHAnsi" w:cstheme="minorBidi"/>
          <w:color w:val="000000"/>
          <w:sz w:val="21"/>
          <w:szCs w:val="22"/>
          <w:lang w:val="en-US" w:eastAsia="en-US" w:bidi="ar-SA"/>
        </w:rPr>
        <w:t>GR201837000132</w:t>
      </w:r>
      <w:r>
        <w:rPr>
          <w:rFonts w:ascii="SimSun" w:hAnsi="SimSun" w:eastAsiaTheme="minorEastAsia" w:cs="SimSun"/>
          <w:color w:val="000000"/>
          <w:sz w:val="21"/>
          <w:szCs w:val="22"/>
          <w:lang w:val="en-US" w:eastAsia="en-US" w:bidi="ar-SA"/>
        </w:rPr>
        <w:t>。根据企业所得税法规定，本公司自</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2018</w:t>
      </w:r>
    </w:p>
    <w:p>
      <w:pPr>
        <w:framePr w:w="9015" w:x="1798" w:y="42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年减按</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w:t>
      </w:r>
      <w:r>
        <w:rPr>
          <w:rFonts w:ascii="SimSun" w:hAnsi="SimSun" w:eastAsiaTheme="minorEastAsia" w:cs="SimSun"/>
          <w:color w:val="000000"/>
          <w:sz w:val="21"/>
          <w:szCs w:val="22"/>
          <w:lang w:val="en-US" w:eastAsia="en-US" w:bidi="ar-SA"/>
        </w:rPr>
        <w:t>的所得税税率征税的优惠，优惠期至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日止。</w:t>
      </w:r>
    </w:p>
    <w:p>
      <w:pPr>
        <w:framePr w:w="9078" w:x="1798" w:y="56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w:t>
      </w:r>
      <w:r>
        <w:rPr>
          <w:rFonts w:ascii="SimSun" w:hAnsi="SimSun" w:eastAsiaTheme="minorEastAsia" w:cs="SimSun"/>
          <w:color w:val="000000"/>
          <w:sz w:val="21"/>
          <w:szCs w:val="22"/>
          <w:lang w:val="en-US" w:eastAsia="en-US" w:bidi="ar-SA"/>
        </w:rPr>
        <w:t>日，潍坊先达被山东省认定机构办公室认定为通过复审的高新技术企业，有</w:t>
      </w:r>
    </w:p>
    <w:p>
      <w:pPr>
        <w:framePr w:w="9078" w:x="1798" w:y="56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效期至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2023</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w:t>
      </w:r>
      <w:r>
        <w:rPr>
          <w:rFonts w:ascii="SimSun" w:hAnsi="SimSun" w:eastAsiaTheme="minorEastAsia" w:cs="SimSun"/>
          <w:color w:val="000000"/>
          <w:spacing w:val="-3"/>
          <w:sz w:val="21"/>
          <w:szCs w:val="22"/>
          <w:lang w:val="en-US" w:eastAsia="en-US" w:bidi="ar-SA"/>
        </w:rPr>
        <w:t>日，证书编号：</w:t>
      </w:r>
      <w:r>
        <w:rPr>
          <w:rFonts w:ascii="SimSun" w:eastAsiaTheme="minorEastAsia" w:hAnsiTheme="minorHAnsi" w:cstheme="minorBidi"/>
          <w:color w:val="000000"/>
          <w:sz w:val="21"/>
          <w:szCs w:val="22"/>
          <w:lang w:val="en-US" w:eastAsia="en-US" w:bidi="ar-SA"/>
        </w:rPr>
        <w:t>GR202037001016</w:t>
      </w:r>
      <w:r>
        <w:rPr>
          <w:rFonts w:ascii="SimSun" w:hAnsi="SimSun" w:eastAsiaTheme="minorEastAsia" w:cs="SimSun"/>
          <w:color w:val="000000"/>
          <w:spacing w:val="-4"/>
          <w:sz w:val="21"/>
          <w:szCs w:val="22"/>
          <w:lang w:val="en-US" w:eastAsia="en-US" w:bidi="ar-SA"/>
        </w:rPr>
        <w:t>。根据企业所得税法规定，自</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年减按</w:t>
      </w:r>
    </w:p>
    <w:p>
      <w:pPr>
        <w:framePr w:w="9078" w:x="1798" w:y="56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w:t>
      </w:r>
      <w:r>
        <w:rPr>
          <w:rFonts w:ascii="SimSun" w:hAnsi="SimSun" w:eastAsiaTheme="minorEastAsia" w:cs="SimSun"/>
          <w:color w:val="000000"/>
          <w:sz w:val="21"/>
          <w:szCs w:val="22"/>
          <w:lang w:val="en-US" w:eastAsia="en-US" w:bidi="ar-SA"/>
        </w:rPr>
        <w:t>的所得税税率征税的优惠，优惠期至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2022</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日止。</w:t>
      </w:r>
    </w:p>
    <w:p>
      <w:pPr>
        <w:framePr w:w="9322" w:x="1798" w:y="6984"/>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依据财政部、国家税务总局《关于农业生产资料免征增值税政策的通知》（财税</w:t>
      </w:r>
      <w:r>
        <w:rPr>
          <w:rFonts w:ascii="SimSun" w:eastAsiaTheme="minorEastAsia" w:hAnsiTheme="minorHAnsi" w:cstheme="minorBidi"/>
          <w:color w:val="000000"/>
          <w:sz w:val="21"/>
          <w:szCs w:val="22"/>
          <w:lang w:val="en-US" w:eastAsia="en-US" w:bidi="ar-SA"/>
        </w:rPr>
        <w:t>[2011]113</w:t>
      </w:r>
    </w:p>
    <w:p>
      <w:pPr>
        <w:framePr w:w="9322" w:x="1798" w:y="698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号）批发和零售的种子、种苗、化肥、农药、农机免征增值税，济南先达与沈阳先达分别向山东</w:t>
      </w:r>
    </w:p>
    <w:p>
      <w:pPr>
        <w:framePr w:w="9322" w:x="1798" w:y="698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省济南市高新技术产业开发区国家税务局和国家税务总局沈阳市辉山经济开发区税务局申请备案，</w:t>
      </w:r>
    </w:p>
    <w:p>
      <w:pPr>
        <w:framePr w:w="9322" w:x="1798" w:y="698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减免幅度为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w:t>
      </w:r>
      <w:r>
        <w:rPr>
          <w:rFonts w:ascii="SimSun" w:hAnsi="SimSun" w:eastAsiaTheme="minorEastAsia" w:cs="SimSun"/>
          <w:color w:val="000000"/>
          <w:sz w:val="21"/>
          <w:szCs w:val="22"/>
          <w:lang w:val="en-US" w:eastAsia="en-US" w:bidi="ar-SA"/>
        </w:rPr>
        <w:t>，减免期限至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2099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pacing w:val="-1"/>
          <w:sz w:val="21"/>
          <w:szCs w:val="22"/>
          <w:lang w:val="en-US" w:eastAsia="en-US" w:bidi="ar-SA"/>
        </w:rPr>
        <w:t>日。</w:t>
      </w:r>
    </w:p>
    <w:p>
      <w:pPr>
        <w:framePr w:w="9216" w:x="1798" w:y="8737"/>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根据《财政部国家税务总局关于实施小微企业普惠性税收减免政策的通知》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7"/>
          <w:sz w:val="21"/>
          <w:szCs w:val="22"/>
          <w:lang w:val="en-US" w:eastAsia="en-US" w:bidi="ar-SA"/>
        </w:rPr>
        <w:t>财税〔</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23"/>
          <w:sz w:val="21"/>
          <w:szCs w:val="22"/>
          <w:lang w:val="en-US" w:eastAsia="en-US" w:bidi="ar-SA"/>
        </w:rPr>
        <w:t>〕</w:t>
      </w:r>
      <w:r>
        <w:rPr>
          <w:rFonts w:ascii="SimSun" w:eastAsiaTheme="minorEastAsia" w:hAnsiTheme="minorHAnsi" w:cstheme="minorBidi"/>
          <w:color w:val="000000"/>
          <w:spacing w:val="-2"/>
          <w:sz w:val="21"/>
          <w:szCs w:val="22"/>
          <w:lang w:val="en-US" w:eastAsia="en-US" w:bidi="ar-SA"/>
        </w:rPr>
        <w:t>13</w:t>
      </w:r>
    </w:p>
    <w:p>
      <w:pPr>
        <w:framePr w:w="9216" w:x="1798" w:y="873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号</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5"/>
          <w:sz w:val="21"/>
          <w:szCs w:val="22"/>
          <w:lang w:val="en-US" w:eastAsia="en-US" w:bidi="ar-SA"/>
        </w:rPr>
        <w:t>规定：“对小型微利企业年应纳税所得额不超过</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w:t>
      </w:r>
      <w:r>
        <w:rPr>
          <w:rFonts w:ascii="SimSun" w:hAnsi="SimSun" w:eastAsiaTheme="minorEastAsia" w:cs="SimSun"/>
          <w:color w:val="000000"/>
          <w:spacing w:val="-13"/>
          <w:sz w:val="21"/>
          <w:szCs w:val="22"/>
          <w:lang w:val="en-US" w:eastAsia="en-US" w:bidi="ar-SA"/>
        </w:rPr>
        <w:t>万元的部分，减按</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z w:val="21"/>
          <w:szCs w:val="22"/>
          <w:lang w:val="en-US" w:eastAsia="en-US" w:bidi="ar-SA"/>
        </w:rPr>
        <w:t>计入应纳税所得额，</w:t>
      </w:r>
    </w:p>
    <w:p>
      <w:pPr>
        <w:framePr w:w="9216" w:x="1798" w:y="8737"/>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的税率缴纳企业所得税</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对年应纳税所得额超过</w:t>
      </w:r>
      <w:r>
        <w:rPr>
          <w:rFonts w:eastAsiaTheme="minorEastAsia" w:hAnsiTheme="minorHAnsi" w:cstheme="minorBidi"/>
          <w:color w:val="000000"/>
          <w:spacing w:val="-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w:t>
      </w:r>
      <w:r>
        <w:rPr>
          <w:rFonts w:ascii="SimSun" w:hAnsi="SimSun" w:eastAsiaTheme="minorEastAsia" w:cs="SimSun"/>
          <w:color w:val="000000"/>
          <w:sz w:val="21"/>
          <w:szCs w:val="22"/>
          <w:lang w:val="en-US" w:eastAsia="en-US" w:bidi="ar-SA"/>
        </w:rPr>
        <w:t>万元但不超过</w:t>
      </w:r>
      <w:r>
        <w:rPr>
          <w:rFonts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w:t>
      </w:r>
      <w:r>
        <w:rPr>
          <w:rFonts w:ascii="SimSun" w:hAnsi="SimSun" w:eastAsiaTheme="minorEastAsia" w:cs="SimSun"/>
          <w:color w:val="000000"/>
          <w:spacing w:val="-13"/>
          <w:sz w:val="21"/>
          <w:szCs w:val="22"/>
          <w:lang w:val="en-US" w:eastAsia="en-US" w:bidi="ar-SA"/>
        </w:rPr>
        <w:t>万元的部分，减按</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w:t>
      </w:r>
    </w:p>
    <w:p>
      <w:pPr>
        <w:framePr w:w="9216" w:x="1798" w:y="87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计入应纳税所得额，按</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的税率缴纳企业所得税”。济南瑞斯邦、博兴县盛信达、沈阳万菱、</w:t>
      </w:r>
    </w:p>
    <w:p>
      <w:pPr>
        <w:framePr w:w="9216" w:x="1798" w:y="87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沈阳先达均符合小型微利企业税收优惠条件。</w:t>
      </w:r>
    </w:p>
    <w:p>
      <w:pPr>
        <w:framePr w:w="1087" w:x="1798" w:y="109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112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116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七、合并财务报表项目注释</w:t>
      </w:r>
    </w:p>
    <w:p>
      <w:pPr>
        <w:framePr w:w="1505" w:x="1798" w:y="121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货币资金</w:t>
      </w:r>
    </w:p>
    <w:p>
      <w:pPr>
        <w:framePr w:w="1922" w:x="1798" w:y="126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29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476" w:x="1798" w:y="13237"/>
        <w:widowControl w:val="0"/>
        <w:autoSpaceDE w:val="0"/>
        <w:autoSpaceDN w:val="0"/>
        <w:spacing w:line="211" w:lineRule="exact"/>
        <w:ind w:left="81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476" w:x="1798" w:y="1323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库存现金</w:t>
      </w:r>
    </w:p>
    <w:p>
      <w:pPr>
        <w:framePr w:w="1085" w:x="5231" w:y="13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8622" w:y="13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190" w:x="6282" w:y="135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51,384.04</w:t>
      </w:r>
    </w:p>
    <w:p>
      <w:pPr>
        <w:framePr w:w="1190" w:x="9686" w:y="135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15,451.11</w:t>
      </w:r>
    </w:p>
    <w:p>
      <w:pPr>
        <w:framePr w:w="1085" w:x="1798" w:y="138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银行存款</w:t>
      </w:r>
    </w:p>
    <w:p>
      <w:pPr>
        <w:framePr w:w="1718" w:x="5756" w:y="138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332,138,781.88</w:t>
      </w:r>
    </w:p>
    <w:p>
      <w:pPr>
        <w:framePr w:w="1718" w:x="5756" w:y="1380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173,518,680.64</w:t>
      </w:r>
    </w:p>
    <w:p>
      <w:pPr>
        <w:framePr w:w="1718" w:x="5756" w:y="1380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505,708,846.56</w:t>
      </w:r>
    </w:p>
    <w:p>
      <w:pPr>
        <w:framePr w:w="1718" w:x="5756" w:y="13801"/>
        <w:widowControl w:val="0"/>
        <w:autoSpaceDE w:val="0"/>
        <w:autoSpaceDN w:val="0"/>
        <w:spacing w:before="70"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49,202.87</w:t>
      </w:r>
    </w:p>
    <w:p>
      <w:pPr>
        <w:framePr w:w="1718" w:x="9160" w:y="138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363,231,699.32</w:t>
      </w:r>
    </w:p>
    <w:p>
      <w:pPr>
        <w:framePr w:w="1718" w:x="9160" w:y="1380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154,161,909.76</w:t>
      </w:r>
    </w:p>
    <w:p>
      <w:pPr>
        <w:framePr w:w="1718" w:x="9160" w:y="1380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517,409,060.19</w:t>
      </w:r>
    </w:p>
    <w:p>
      <w:pPr>
        <w:framePr w:w="1507" w:x="1798" w:y="140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其他货币资金</w:t>
      </w:r>
    </w:p>
    <w:p>
      <w:pPr>
        <w:framePr w:w="1507" w:x="1798" w:y="1408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141" w:x="2009" w:y="146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其中：存放在境外的</w:t>
      </w:r>
    </w:p>
    <w:p>
      <w:pPr>
        <w:framePr w:w="2141" w:x="2009" w:y="14648"/>
        <w:widowControl w:val="0"/>
        <w:autoSpaceDE w:val="0"/>
        <w:autoSpaceDN w:val="0"/>
        <w:spacing w:before="62" w:line="211" w:lineRule="exact"/>
        <w:ind w:left="39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款项总额</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89" type="#_x0000_t75" style="width:445.6pt;height:2.7pt;margin-top:53.65pt;margin-left:87.45pt;mso-position-horizontal-relative:page;mso-position-vertical-relative:page;position:absolute;z-index:-251280384">
            <v:imagedata r:id="rId206" o:title=""/>
          </v:shape>
        </w:pict>
      </w:r>
      <w:r>
        <w:rPr>
          <w:noProof/>
        </w:rPr>
        <w:pict>
          <v:shape id="_x0000_s1290" type="#_x0000_t75" style="width:454.95pt;height:74.15pt;margin-top:74.3pt;margin-left:83.25pt;mso-position-horizontal-relative:page;mso-position-vertical-relative:page;position:absolute;z-index:-251383808">
            <v:imagedata r:id="rId207" o:title=""/>
          </v:shape>
        </w:pict>
      </w:r>
      <w:r>
        <w:rPr>
          <w:noProof/>
        </w:rPr>
        <w:pict>
          <v:shape id="_x0000_s1291" type="#_x0000_t75" style="width:455.55pt;height:100.75pt;margin-top:658.9pt;margin-left:83pt;mso-position-horizontal-relative:page;mso-position-vertical-relative:page;position:absolute;z-index:-251527168">
            <v:imagedata r:id="rId208" o:title=""/>
          </v:shape>
        </w:pict>
      </w:r>
    </w:p>
    <w:p>
      <w:pPr>
        <w:spacing w:line="0" w:lineRule="atLeast"/>
        <w:rPr>
          <w:rFonts w:ascii="Arial" w:eastAsiaTheme="minorEastAsia" w:hAnsiTheme="minorHAnsi" w:cstheme="minorBidi"/>
          <w:color w:val="FF0000"/>
          <w:sz w:val="2"/>
          <w:szCs w:val="22"/>
          <w:lang w:val="en-US" w:eastAsia="en-US" w:bidi="ar-SA"/>
        </w:rPr>
      </w:pPr>
      <w:bookmarkStart w:id="129" w:name="br1_128"/>
      <w:bookmarkEnd w:id="12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3408"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其中受限制的货币资金明细如下：</w:t>
      </w:r>
    </w:p>
    <w:p>
      <w:pPr>
        <w:framePr w:w="2141" w:x="2571" w:y="2637"/>
        <w:widowControl w:val="0"/>
        <w:autoSpaceDE w:val="0"/>
        <w:autoSpaceDN w:val="0"/>
        <w:spacing w:line="211" w:lineRule="exact"/>
        <w:ind w:left="73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141" w:x="2571" w:y="2637"/>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银行承兑汇票保证金</w:t>
      </w:r>
    </w:p>
    <w:p>
      <w:pPr>
        <w:framePr w:w="2141" w:x="2571" w:y="2637"/>
        <w:widowControl w:val="0"/>
        <w:autoSpaceDE w:val="0"/>
        <w:autoSpaceDN w:val="0"/>
        <w:spacing w:before="13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履约保证金</w:t>
      </w:r>
    </w:p>
    <w:p>
      <w:pPr>
        <w:framePr w:w="1085" w:x="6140" w:y="2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8579" w:y="2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718" w:x="6200" w:y="29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150,265,000.00</w:t>
      </w:r>
    </w:p>
    <w:p>
      <w:pPr>
        <w:framePr w:w="1718" w:x="8639" w:y="29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115,000,000.00</w:t>
      </w:r>
    </w:p>
    <w:p>
      <w:pPr>
        <w:framePr w:w="1718" w:x="8639" w:y="2988"/>
        <w:widowControl w:val="0"/>
        <w:autoSpaceDE w:val="0"/>
        <w:autoSpaceDN w:val="0"/>
        <w:spacing w:before="139"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39,134,997.70</w:t>
      </w:r>
    </w:p>
    <w:p>
      <w:pPr>
        <w:framePr w:w="1718" w:x="8639" w:y="2988"/>
        <w:widowControl w:val="0"/>
        <w:autoSpaceDE w:val="0"/>
        <w:autoSpaceDN w:val="0"/>
        <w:spacing w:before="139"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26,912.06</w:t>
      </w:r>
    </w:p>
    <w:p>
      <w:pPr>
        <w:framePr w:w="1613" w:x="6306" w:y="33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23,253,680.64</w:t>
      </w:r>
    </w:p>
    <w:p>
      <w:pPr>
        <w:framePr w:w="2352" w:x="2465" w:y="36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其他使用受限制的存款</w:t>
      </w:r>
    </w:p>
    <w:p>
      <w:pPr>
        <w:framePr w:w="2352" w:x="2465" w:y="3689"/>
        <w:widowControl w:val="0"/>
        <w:autoSpaceDE w:val="0"/>
        <w:autoSpaceDN w:val="0"/>
        <w:spacing w:before="137" w:line="211" w:lineRule="exact"/>
        <w:ind w:left="8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6200" w:y="40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173,518,680.64</w:t>
      </w:r>
    </w:p>
    <w:p>
      <w:pPr>
        <w:framePr w:w="1718" w:x="8639" w:y="40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154,161,909.76</w:t>
      </w:r>
    </w:p>
    <w:p>
      <w:pPr>
        <w:framePr w:w="2138" w:x="1798" w:y="47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交易性金融资产</w:t>
      </w:r>
    </w:p>
    <w:p>
      <w:pPr>
        <w:framePr w:w="1817" w:x="1798" w:y="52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2" w:x="8279" w:y="5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2" w:x="8279" w:y="5547"/>
        <w:widowControl w:val="0"/>
        <w:autoSpaceDE w:val="0"/>
        <w:autoSpaceDN w:val="0"/>
        <w:spacing w:before="72" w:line="211" w:lineRule="exact"/>
        <w:ind w:left="68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3619" w:x="1798" w:y="5830"/>
        <w:widowControl w:val="0"/>
        <w:autoSpaceDE w:val="0"/>
        <w:autoSpaceDN w:val="0"/>
        <w:spacing w:line="211" w:lineRule="exact"/>
        <w:ind w:left="15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3619" w:x="1798" w:y="583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以公允价值计量且其变动计入当期损</w:t>
      </w:r>
    </w:p>
    <w:p>
      <w:pPr>
        <w:framePr w:w="3619" w:x="1798" w:y="583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益的金融资产</w:t>
      </w:r>
    </w:p>
    <w:p>
      <w:pPr>
        <w:framePr w:w="1085" w:x="6265" w:y="58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874" w:x="1798" w:y="66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507" w:x="2364" w:y="6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613" w:x="6556" w:y="69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10,384,715.04</w:t>
      </w:r>
    </w:p>
    <w:p>
      <w:pPr>
        <w:framePr w:w="1613" w:x="6556" w:y="694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70,000,000.00</w:t>
      </w:r>
    </w:p>
    <w:p>
      <w:pPr>
        <w:framePr w:w="1296" w:x="9583" w:y="69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122,821.60</w:t>
      </w:r>
    </w:p>
    <w:p>
      <w:pPr>
        <w:framePr w:w="1085" w:x="2364" w:y="72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理财产品</w:t>
      </w:r>
    </w:p>
    <w:p>
      <w:pPr>
        <w:framePr w:w="1613" w:x="9268" w:y="72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55,700,000.00</w:t>
      </w:r>
    </w:p>
    <w:p>
      <w:pPr>
        <w:framePr w:w="3619" w:x="1798" w:y="75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指定以公允价值计量且其变动计入当</w:t>
      </w:r>
    </w:p>
    <w:p>
      <w:pPr>
        <w:framePr w:w="3619" w:x="1798" w:y="75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期损益的金融资产</w:t>
      </w:r>
    </w:p>
    <w:p>
      <w:pPr>
        <w:framePr w:w="3619" w:x="1798" w:y="751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662" w:x="3305" w:y="8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556" w:y="835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80,384,715.04</w:t>
      </w:r>
    </w:p>
    <w:p>
      <w:pPr>
        <w:framePr w:w="1613" w:x="9268" w:y="835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55,822,821.60</w:t>
      </w:r>
    </w:p>
    <w:p>
      <w:pPr>
        <w:framePr w:w="1296" w:x="1798" w:y="86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89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92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pacing w:val="-3"/>
          <w:sz w:val="21"/>
          <w:szCs w:val="22"/>
          <w:lang w:val="en-US" w:eastAsia="en-US" w:bidi="ar-SA"/>
        </w:rPr>
        <w:t>日，本公司及子公司潍坊先达、子公司济南瑞斯邦未交割的远期结售汇</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合约共计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4,463.13</w:t>
      </w:r>
      <w:r>
        <w:rPr>
          <w:rFonts w:ascii="SimSun" w:hAnsi="SimSun" w:eastAsiaTheme="minorEastAsia" w:cs="SimSun"/>
          <w:color w:val="000000"/>
          <w:spacing w:val="-3"/>
          <w:sz w:val="21"/>
          <w:szCs w:val="22"/>
          <w:lang w:val="en-US" w:eastAsia="en-US" w:bidi="ar-SA"/>
        </w:rPr>
        <w:t>万美元，根据未交割的远期结售汇约定汇率与剩余交割时限确定的期末金融机</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构远期汇率报价的差额，计算得出远期结售汇公允价值变动为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10,384,715.04</w:t>
      </w:r>
      <w:r>
        <w:rPr>
          <w:rFonts w:ascii="SimSun" w:hAnsi="SimSun" w:eastAsiaTheme="minorEastAsia" w:cs="SimSun"/>
          <w:color w:val="000000"/>
          <w:sz w:val="21"/>
          <w:szCs w:val="22"/>
          <w:lang w:val="en-US" w:eastAsia="en-US" w:bidi="ar-SA"/>
        </w:rPr>
        <w:t>元人民币，即交易</w:t>
      </w:r>
    </w:p>
    <w:p>
      <w:pPr>
        <w:framePr w:w="9110" w:x="1798" w:y="92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性金融资产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10,384,715.04</w:t>
      </w:r>
      <w:r>
        <w:rPr>
          <w:rFonts w:ascii="SimSun" w:hAnsi="SimSun" w:eastAsiaTheme="minorEastAsia" w:cs="SimSun"/>
          <w:color w:val="000000"/>
          <w:sz w:val="21"/>
          <w:szCs w:val="22"/>
          <w:lang w:val="en-US" w:eastAsia="en-US" w:bidi="ar-SA"/>
        </w:rPr>
        <w:t>元人民币。</w:t>
      </w:r>
    </w:p>
    <w:p>
      <w:pPr>
        <w:framePr w:w="1927" w:x="1798" w:y="110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衍生金融资产</w:t>
      </w:r>
    </w:p>
    <w:p>
      <w:pPr>
        <w:framePr w:w="1927" w:x="1798" w:y="1105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7" w:x="1798" w:y="1105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应收票据</w:t>
      </w:r>
    </w:p>
    <w:p>
      <w:pPr>
        <w:framePr w:w="2458" w:x="1798" w:y="126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应收票据分类列示</w:t>
      </w:r>
    </w:p>
    <w:p>
      <w:pPr>
        <w:framePr w:w="1817" w:x="1798" w:y="131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836" w:x="1798" w:y="13722"/>
        <w:widowControl w:val="0"/>
        <w:autoSpaceDE w:val="0"/>
        <w:autoSpaceDN w:val="0"/>
        <w:spacing w:line="211" w:lineRule="exact"/>
        <w:ind w:left="11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36" w:x="1798" w:y="1372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银行承兑票据</w:t>
      </w:r>
    </w:p>
    <w:p>
      <w:pPr>
        <w:framePr w:w="1836" w:x="1798" w:y="1372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商业承兑票据</w:t>
      </w:r>
    </w:p>
    <w:p>
      <w:pPr>
        <w:framePr w:w="1836" w:x="1798" w:y="13722"/>
        <w:widowControl w:val="0"/>
        <w:autoSpaceDE w:val="0"/>
        <w:autoSpaceDN w:val="0"/>
        <w:spacing w:before="72" w:line="211" w:lineRule="exact"/>
        <w:ind w:left="11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821" w:y="137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004" w:x="8858" w:y="137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2004" w:x="8858" w:y="13722"/>
        <w:widowControl w:val="0"/>
        <w:autoSpaceDE w:val="0"/>
        <w:autoSpaceDN w:val="0"/>
        <w:spacing w:before="72" w:line="211" w:lineRule="exact"/>
        <w:ind w:left="50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1507" w:x="9374" w:y="145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92" type="#_x0000_t75" style="width:445.6pt;height:2.7pt;margin-top:53.65pt;margin-left:87.45pt;mso-position-horizontal-relative:page;mso-position-vertical-relative:page;position:absolute;z-index:-251212800">
            <v:imagedata r:id="rId209" o:title=""/>
          </v:shape>
        </w:pict>
      </w:r>
      <w:r>
        <w:rPr>
          <w:noProof/>
        </w:rPr>
        <w:pict>
          <v:shape id="_x0000_s1293" type="#_x0000_t75" style="width:428.9pt;height:89.95pt;margin-top:127.2pt;margin-left:83.25pt;mso-position-horizontal-relative:page;mso-position-vertical-relative:page;position:absolute;z-index:-251279360">
            <v:imagedata r:id="rId210" o:title=""/>
          </v:shape>
        </w:pict>
      </w:r>
      <w:r>
        <w:rPr>
          <w:noProof/>
        </w:rPr>
        <w:pict>
          <v:shape id="_x0000_s1294" type="#_x0000_t75" style="width:454.95pt;height:142.65pt;margin-top:288.55pt;margin-left:83.25pt;mso-position-horizontal-relative:page;mso-position-vertical-relative:page;position:absolute;z-index:-251382784">
            <v:imagedata r:id="rId211" o:title=""/>
          </v:shape>
        </w:pict>
      </w:r>
      <w:r>
        <w:rPr>
          <w:noProof/>
        </w:rPr>
        <w:pict>
          <v:shape id="_x0000_s1295" type="#_x0000_t75" style="width:455.55pt;height:58.9pt;margin-top:683.15pt;margin-left:83pt;mso-position-horizontal-relative:page;mso-position-vertical-relative:page;position:absolute;z-index:-251526144">
            <v:imagedata r:id="rId212" o:title=""/>
          </v:shape>
        </w:pict>
      </w:r>
    </w:p>
    <w:p>
      <w:pPr>
        <w:spacing w:line="0" w:lineRule="atLeast"/>
        <w:rPr>
          <w:rFonts w:ascii="Arial" w:eastAsiaTheme="minorEastAsia" w:hAnsiTheme="minorHAnsi" w:cstheme="minorBidi"/>
          <w:color w:val="FF0000"/>
          <w:sz w:val="2"/>
          <w:szCs w:val="22"/>
          <w:lang w:val="en-US" w:eastAsia="en-US" w:bidi="ar-SA"/>
        </w:rPr>
      </w:pPr>
      <w:bookmarkStart w:id="130" w:name="br1_129"/>
      <w:bookmarkEnd w:id="13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298"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期末公司已质押的应收票据</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461"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期末公司已背书或贴现且在资产负债表日尚未到期的应收票据</w:t>
      </w:r>
    </w:p>
    <w:p>
      <w:pPr>
        <w:framePr w:w="1817" w:x="1798"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43" w:x="8231" w:y="3396"/>
        <w:widowControl w:val="0"/>
        <w:autoSpaceDE w:val="0"/>
        <w:autoSpaceDN w:val="0"/>
        <w:spacing w:line="211" w:lineRule="exact"/>
        <w:ind w:left="8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643" w:x="8231" w:y="339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期末未终止确认金额</w:t>
      </w:r>
    </w:p>
    <w:p>
      <w:pPr>
        <w:framePr w:w="1783" w:x="1798" w:y="3677"/>
        <w:widowControl w:val="0"/>
        <w:autoSpaceDE w:val="0"/>
        <w:autoSpaceDN w:val="0"/>
        <w:spacing w:line="211" w:lineRule="exact"/>
        <w:ind w:left="112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783" w:x="1798" w:y="36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银行承兑票据</w:t>
      </w:r>
    </w:p>
    <w:p>
      <w:pPr>
        <w:framePr w:w="1783" w:x="1798" w:y="367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商业承兑票据</w:t>
      </w:r>
    </w:p>
    <w:p>
      <w:pPr>
        <w:framePr w:w="1783" w:x="1798" w:y="3677"/>
        <w:widowControl w:val="0"/>
        <w:autoSpaceDE w:val="0"/>
        <w:autoSpaceDN w:val="0"/>
        <w:spacing w:before="72" w:line="211" w:lineRule="exact"/>
        <w:ind w:left="112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501" w:x="5250" w:y="36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期末终止确认金额</w:t>
      </w:r>
    </w:p>
    <w:p>
      <w:pPr>
        <w:framePr w:w="2501" w:x="5250" w:y="3677"/>
        <w:widowControl w:val="0"/>
        <w:autoSpaceDE w:val="0"/>
        <w:autoSpaceDN w:val="0"/>
        <w:spacing w:before="72" w:line="211" w:lineRule="exact"/>
        <w:ind w:left="89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89,778,404.70</w:t>
      </w:r>
    </w:p>
    <w:p>
      <w:pPr>
        <w:framePr w:w="1613" w:x="6143" w:y="45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89,778,404.70</w:t>
      </w:r>
    </w:p>
    <w:p>
      <w:pPr>
        <w:framePr w:w="5407" w:x="1798" w:y="49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期末公司因出票人未履约而将其转应收账款的票据</w:t>
      </w:r>
    </w:p>
    <w:p>
      <w:pPr>
        <w:framePr w:w="5407" w:x="1798" w:y="492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89" w:x="1798" w:y="59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按坏账计提方法分类披露</w:t>
      </w:r>
    </w:p>
    <w:p>
      <w:pPr>
        <w:framePr w:w="3089" w:x="1798" w:y="598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2" w:x="1798" w:y="70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按单项计提坏账准备：</w:t>
      </w:r>
    </w:p>
    <w:p>
      <w:pPr>
        <w:framePr w:w="2352" w:x="1798" w:y="704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2" w:x="1798" w:y="80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按组合计提坏账准备：</w:t>
      </w:r>
    </w:p>
    <w:p>
      <w:pPr>
        <w:framePr w:w="2352" w:x="1798" w:y="809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576" w:x="1798" w:y="91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如按预期信用损失一般模型计提坏账准备，请参照其他应收款披露：</w:t>
      </w:r>
    </w:p>
    <w:p>
      <w:pPr>
        <w:framePr w:w="6576" w:x="1798" w:y="9154"/>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46" w:x="1798" w:y="102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坏账准备的情况</w:t>
      </w:r>
    </w:p>
    <w:p>
      <w:pPr>
        <w:framePr w:w="2246" w:x="1798" w:y="1021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509" w:x="1798" w:y="112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本期实际核销的应收票据情况</w:t>
      </w:r>
    </w:p>
    <w:p>
      <w:pPr>
        <w:framePr w:w="3509" w:x="1798" w:y="11269"/>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123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128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5" w:x="1798" w:y="133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应收账款</w:t>
      </w:r>
    </w:p>
    <w:p>
      <w:pPr>
        <w:framePr w:w="1723" w:x="1798" w:y="139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按账龄披露</w:t>
      </w:r>
    </w:p>
    <w:p>
      <w:pPr>
        <w:framePr w:w="1817" w:x="1798" w:y="144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979" w:x="3545" w:y="149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w:t>
      </w:r>
      <w:r>
        <w:rPr>
          <w:rFonts w:ascii="SimSun" w:hAnsi="SimSun" w:eastAsiaTheme="minorEastAsia" w:cs="SimSun"/>
          <w:color w:val="000000"/>
          <w:spacing w:val="-1"/>
          <w:sz w:val="21"/>
          <w:szCs w:val="22"/>
          <w:lang w:val="en-US" w:eastAsia="en-US" w:bidi="ar-SA"/>
        </w:rPr>
        <w:t>账龄</w:t>
      </w:r>
    </w:p>
    <w:p>
      <w:pPr>
        <w:framePr w:w="1507" w:x="7871" w:y="149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96" type="#_x0000_t75" style="width:445.6pt;height:2.7pt;margin-top:53.65pt;margin-left:87.45pt;mso-position-horizontal-relative:page;mso-position-vertical-relative:page;position:absolute;z-index:-251278336">
            <v:imagedata r:id="rId213" o:title=""/>
          </v:shape>
        </w:pict>
      </w:r>
      <w:r>
        <w:rPr>
          <w:noProof/>
        </w:rPr>
        <w:pict>
          <v:shape id="_x0000_s1297" type="#_x0000_t75" style="width:454.95pt;height:59pt;margin-top:180.85pt;margin-left:83.25pt;mso-position-horizontal-relative:page;mso-position-vertical-relative:page;position:absolute;z-index:-251381760">
            <v:imagedata r:id="rId214" o:title=""/>
          </v:shape>
        </w:pict>
      </w:r>
      <w:r>
        <w:rPr>
          <w:noProof/>
        </w:rPr>
        <w:pict>
          <v:shape id="_x0000_s1298" type="#_x0000_t75" style="width:461.55pt;height:16.5pt;margin-top:746.85pt;margin-left:83.25pt;mso-position-horizontal-relative:page;mso-position-vertical-relative:page;position:absolute;z-index:-251525120">
            <v:imagedata r:id="rId215" o:title=""/>
          </v:shape>
        </w:pict>
      </w:r>
    </w:p>
    <w:p>
      <w:pPr>
        <w:spacing w:line="0" w:lineRule="atLeast"/>
        <w:rPr>
          <w:rFonts w:ascii="Arial" w:eastAsiaTheme="minorEastAsia" w:hAnsiTheme="minorHAnsi" w:cstheme="minorBidi"/>
          <w:color w:val="FF0000"/>
          <w:sz w:val="2"/>
          <w:szCs w:val="22"/>
          <w:lang w:val="en-US" w:eastAsia="en-US" w:bidi="ar-SA"/>
        </w:rPr>
      </w:pPr>
      <w:bookmarkStart w:id="131" w:name="br1_130"/>
      <w:bookmarkEnd w:id="13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30"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081" w:x="1798"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年以内分项</w:t>
      </w:r>
    </w:p>
    <w:p>
      <w:pPr>
        <w:framePr w:w="2081" w:x="1798"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年以内小计</w:t>
      </w:r>
    </w:p>
    <w:p>
      <w:pPr>
        <w:framePr w:w="2081" w:x="1798"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718" w:x="9290"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218,108,382.84</w:t>
      </w:r>
    </w:p>
    <w:p>
      <w:pPr>
        <w:framePr w:w="1718" w:x="9290" w:y="2112"/>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680,766.68</w:t>
      </w:r>
    </w:p>
    <w:p>
      <w:pPr>
        <w:framePr w:w="1030" w:x="1798"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030" w:x="1798"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年</w:t>
      </w:r>
    </w:p>
    <w:p>
      <w:pPr>
        <w:framePr w:w="1030" w:x="1798"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年</w:t>
      </w:r>
    </w:p>
    <w:p>
      <w:pPr>
        <w:framePr w:w="1296" w:x="9710"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726,016.50</w:t>
      </w:r>
    </w:p>
    <w:p>
      <w:pPr>
        <w:framePr w:w="1030" w:x="1798" w:y="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年以上</w:t>
      </w:r>
    </w:p>
    <w:p>
      <w:pPr>
        <w:framePr w:w="662" w:x="3701" w:y="38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290" w:y="38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219,515,166.02</w:t>
      </w:r>
    </w:p>
    <w:p>
      <w:pPr>
        <w:framePr w:w="2988" w:x="1798" w:y="44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按坏账计提方法分类披露</w:t>
      </w:r>
    </w:p>
    <w:p>
      <w:pPr>
        <w:framePr w:w="1817" w:x="1798" w:y="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7" w:y="5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217" w:y="5025"/>
        <w:widowControl w:val="0"/>
        <w:autoSpaceDE w:val="0"/>
        <w:autoSpaceDN w:val="0"/>
        <w:spacing w:before="70" w:line="211" w:lineRule="exact"/>
        <w:ind w:left="46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3718" w:y="53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183" w:x="2127" w:y="5590"/>
        <w:widowControl w:val="0"/>
        <w:autoSpaceDE w:val="0"/>
        <w:autoSpaceDN w:val="0"/>
        <w:spacing w:line="211" w:lineRule="exact"/>
        <w:ind w:left="10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183" w:x="2127" w:y="5590"/>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085" w:x="4143" w:y="55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154" w:x="7050" w:y="5590"/>
        <w:widowControl w:val="0"/>
        <w:autoSpaceDE w:val="0"/>
        <w:autoSpaceDN w:val="0"/>
        <w:spacing w:line="211" w:lineRule="exact"/>
        <w:ind w:left="7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154" w:x="7050" w:y="5590"/>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085" w:x="8968" w:y="55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662" w:x="806" w:y="5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451" w:x="3224" w:y="5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w:t>
      </w:r>
    </w:p>
    <w:p>
      <w:pPr>
        <w:framePr w:w="451" w:x="3224" w:y="58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例</w:t>
      </w:r>
    </w:p>
    <w:p>
      <w:pPr>
        <w:framePr w:w="662" w:x="4919" w:y="5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662" w:x="4919" w:y="58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4919" w:y="5873"/>
        <w:widowControl w:val="0"/>
        <w:autoSpaceDE w:val="0"/>
        <w:autoSpaceDN w:val="0"/>
        <w:spacing w:before="62"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662" w:x="5840" w:y="5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账面</w:t>
      </w:r>
    </w:p>
    <w:p>
      <w:pPr>
        <w:framePr w:w="662" w:x="5840" w:y="586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价值</w:t>
      </w:r>
    </w:p>
    <w:p>
      <w:pPr>
        <w:framePr w:w="451" w:x="8075" w:y="5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w:t>
      </w:r>
    </w:p>
    <w:p>
      <w:pPr>
        <w:framePr w:w="662" w:x="9746" w:y="58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662" w:x="9746" w:y="58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9746" w:y="5873"/>
        <w:widowControl w:val="0"/>
        <w:autoSpaceDE w:val="0"/>
        <w:autoSpaceDN w:val="0"/>
        <w:spacing w:before="62"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662" w:x="10735" w:y="5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账面</w:t>
      </w:r>
    </w:p>
    <w:p>
      <w:pPr>
        <w:framePr w:w="662" w:x="10735" w:y="586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价值</w:t>
      </w:r>
    </w:p>
    <w:p>
      <w:pPr>
        <w:framePr w:w="662" w:x="3997" w:y="61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451" w:x="8075" w:y="61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例</w:t>
      </w:r>
    </w:p>
    <w:p>
      <w:pPr>
        <w:framePr w:w="662" w:x="8824" w:y="61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557" w:x="3171" w:y="64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557" w:x="8022" w:y="64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4422" w:x="487" w:y="66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按单项计提</w:t>
      </w:r>
      <w:r>
        <w:rPr>
          <w:rFonts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726,016.50</w:t>
      </w:r>
      <w:r>
        <w:rPr>
          <w:rFonts w:ascii="SimSun" w:eastAsiaTheme="minorEastAsia" w:hAnsiTheme="minorHAnsi" w:cstheme="minorBidi"/>
          <w:color w:val="000000"/>
          <w:spacing w:val="2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0.3</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726,016.</w:t>
      </w:r>
    </w:p>
    <w:p>
      <w:pPr>
        <w:framePr w:w="557" w:x="5063" w:y="66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3332" w:x="6405" w:y="66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r>
        <w:rPr>
          <w:rFonts w:ascii="SimSun" w:eastAsiaTheme="minorEastAsia" w:hAnsiTheme="minorHAnsi" w:cstheme="minorBidi"/>
          <w:color w:val="000000"/>
          <w:spacing w:val="1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1,647,606.</w:t>
      </w:r>
      <w:r>
        <w:rPr>
          <w:rFonts w:ascii="SimSun" w:eastAsiaTheme="minorEastAsia" w:hAnsiTheme="minorHAnsi" w:cstheme="minorBidi"/>
          <w:color w:val="000000"/>
          <w:spacing w:val="14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0.5</w:t>
      </w:r>
      <w:r>
        <w:rPr>
          <w:rFonts w:ascii="SimSun" w:eastAsiaTheme="minorEastAsia" w:hAnsiTheme="minorHAnsi" w:cstheme="minorBidi"/>
          <w:color w:val="000000"/>
          <w:spacing w:val="19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1,647,60</w:t>
      </w:r>
    </w:p>
    <w:p>
      <w:pPr>
        <w:framePr w:w="3332" w:x="6405" w:y="6699"/>
        <w:widowControl w:val="0"/>
        <w:autoSpaceDE w:val="0"/>
        <w:autoSpaceDN w:val="0"/>
        <w:spacing w:before="62" w:line="211" w:lineRule="exact"/>
        <w:ind w:left="117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45</w:t>
      </w:r>
      <w:r>
        <w:rPr>
          <w:rFonts w:ascii="SimSun" w:eastAsiaTheme="minorEastAsia" w:hAnsiTheme="minorHAnsi" w:cstheme="minorBidi"/>
          <w:color w:val="000000"/>
          <w:spacing w:val="1177"/>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6.45</w:t>
      </w:r>
    </w:p>
    <w:p>
      <w:pPr>
        <w:framePr w:w="557" w:x="9888" w:y="66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346" w:x="11369" w:y="66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1085" w:x="487" w:y="69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085" w:x="487" w:y="697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346" w:x="3428" w:y="6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451" w:x="4455" w:y="6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w:t>
      </w:r>
    </w:p>
    <w:p>
      <w:pPr>
        <w:framePr w:w="346" w:x="8250" w:y="6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11229" w:x="487" w:y="753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按组合计提</w:t>
      </w:r>
      <w:r>
        <w:rPr>
          <w:rFonts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218,789,14</w:t>
      </w:r>
      <w:r>
        <w:rPr>
          <w:rFonts w:ascii="SimSun" w:eastAsiaTheme="minorEastAsia" w:hAnsiTheme="minorHAnsi" w:cstheme="minorBidi"/>
          <w:color w:val="000000"/>
          <w:spacing w:val="2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11,041,5</w:t>
      </w:r>
      <w:r>
        <w:rPr>
          <w:rFonts w:ascii="SimSun" w:eastAsiaTheme="minorEastAsia" w:hAnsiTheme="minorHAnsi" w:cstheme="minorBidi"/>
          <w:color w:val="000000"/>
          <w:spacing w:val="18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5.05</w:t>
      </w:r>
      <w:r>
        <w:rPr>
          <w:rFonts w:ascii="SimSun" w:eastAsiaTheme="minorEastAsia" w:hAnsiTheme="minorHAnsi" w:cstheme="minorBidi"/>
          <w:color w:val="000000"/>
          <w:spacing w:val="18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207,747,</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301,920,63</w:t>
      </w:r>
      <w:r>
        <w:rPr>
          <w:rFonts w:ascii="SimSun" w:eastAsiaTheme="minorEastAsia" w:hAnsiTheme="minorHAnsi" w:cstheme="minorBidi"/>
          <w:color w:val="000000"/>
          <w:spacing w:val="14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w:t>
      </w:r>
      <w:r>
        <w:rPr>
          <w:rFonts w:ascii="SimSun" w:eastAsiaTheme="minorEastAsia" w:hAnsiTheme="minorHAnsi" w:cstheme="minorBidi"/>
          <w:color w:val="000000"/>
          <w:spacing w:val="19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15,293,9</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5.07</w:t>
      </w:r>
      <w:r>
        <w:rPr>
          <w:rFonts w:ascii="SimSun" w:eastAsiaTheme="minorEastAsia" w:hAnsiTheme="minorHAnsi" w:cstheme="minorBidi"/>
          <w:color w:val="000000"/>
          <w:spacing w:val="11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286,626,64</w:t>
      </w:r>
    </w:p>
    <w:p>
      <w:pPr>
        <w:framePr w:w="1085" w:x="487" w:y="78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085" w:x="487" w:y="781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662" w:x="2492" w:y="78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9.52</w:t>
      </w:r>
    </w:p>
    <w:p>
      <w:pPr>
        <w:framePr w:w="451" w:x="3322" w:y="78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67</w:t>
      </w:r>
    </w:p>
    <w:p>
      <w:pPr>
        <w:framePr w:w="768" w:x="4141" w:y="78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72.49</w:t>
      </w:r>
    </w:p>
    <w:p>
      <w:pPr>
        <w:framePr w:w="874" w:x="5879" w:y="78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577.03</w:t>
      </w:r>
    </w:p>
    <w:p>
      <w:pPr>
        <w:framePr w:w="1224" w:x="7372" w:y="78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9.22</w:t>
      </w:r>
      <w:r>
        <w:rPr>
          <w:rFonts w:ascii="SimSun" w:eastAsiaTheme="minorEastAsia" w:hAnsiTheme="minorHAnsi" w:cstheme="minorBidi"/>
          <w:color w:val="000000"/>
          <w:spacing w:val="24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46</w:t>
      </w:r>
    </w:p>
    <w:p>
      <w:pPr>
        <w:framePr w:w="768" w:x="8968" w:y="78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99.18</w:t>
      </w:r>
    </w:p>
    <w:p>
      <w:pPr>
        <w:framePr w:w="662" w:x="11054" w:y="78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0.04</w:t>
      </w:r>
    </w:p>
    <w:p>
      <w:pPr>
        <w:framePr w:w="1085" w:x="487" w:y="83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账龄组合</w:t>
      </w:r>
    </w:p>
    <w:p>
      <w:pPr>
        <w:framePr w:w="9856" w:x="1860" w:y="83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218,789,14</w:t>
      </w:r>
      <w:r>
        <w:rPr>
          <w:rFonts w:ascii="SimSun" w:eastAsiaTheme="minorEastAsia" w:hAnsiTheme="minorHAnsi" w:cstheme="minorBidi"/>
          <w:color w:val="000000"/>
          <w:spacing w:val="2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11,041,5</w:t>
      </w:r>
      <w:r>
        <w:rPr>
          <w:rFonts w:ascii="SimSun" w:eastAsiaTheme="minorEastAsia" w:hAnsiTheme="minorHAnsi" w:cstheme="minorBidi"/>
          <w:color w:val="000000"/>
          <w:spacing w:val="18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5.05</w:t>
      </w:r>
      <w:r>
        <w:rPr>
          <w:rFonts w:ascii="SimSun" w:eastAsiaTheme="minorEastAsia" w:hAnsiTheme="minorHAnsi" w:cstheme="minorBidi"/>
          <w:color w:val="000000"/>
          <w:spacing w:val="18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207,747,</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301,920,63</w:t>
      </w:r>
      <w:r>
        <w:rPr>
          <w:rFonts w:ascii="SimSun" w:eastAsiaTheme="minorEastAsia" w:hAnsiTheme="minorHAnsi" w:cstheme="minorBidi"/>
          <w:color w:val="000000"/>
          <w:spacing w:val="14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w:t>
      </w:r>
      <w:r>
        <w:rPr>
          <w:rFonts w:ascii="SimSun" w:eastAsiaTheme="minorEastAsia" w:hAnsiTheme="minorHAnsi" w:cstheme="minorBidi"/>
          <w:color w:val="000000"/>
          <w:spacing w:val="19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15,293,9</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5.07</w:t>
      </w:r>
      <w:r>
        <w:rPr>
          <w:rFonts w:ascii="SimSun" w:eastAsiaTheme="minorEastAsia" w:hAnsiTheme="minorHAnsi" w:cstheme="minorBidi"/>
          <w:color w:val="000000"/>
          <w:spacing w:val="11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286,626,64</w:t>
      </w:r>
    </w:p>
    <w:p>
      <w:pPr>
        <w:framePr w:w="662" w:x="2492" w:y="86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9.52</w:t>
      </w:r>
    </w:p>
    <w:p>
      <w:pPr>
        <w:framePr w:w="451" w:x="3322" w:y="86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67</w:t>
      </w:r>
    </w:p>
    <w:p>
      <w:pPr>
        <w:framePr w:w="1085" w:x="3827" w:y="8645"/>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72.49</w:t>
      </w:r>
    </w:p>
    <w:p>
      <w:pPr>
        <w:framePr w:w="1085" w:x="3827" w:y="864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11,767,5</w:t>
      </w:r>
    </w:p>
    <w:p>
      <w:pPr>
        <w:framePr w:w="1085" w:x="3827" w:y="8645"/>
        <w:widowControl w:val="0"/>
        <w:autoSpaceDE w:val="0"/>
        <w:autoSpaceDN w:val="0"/>
        <w:spacing w:before="6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88.99</w:t>
      </w:r>
    </w:p>
    <w:p>
      <w:pPr>
        <w:framePr w:w="874" w:x="5879" w:y="86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577.03</w:t>
      </w:r>
    </w:p>
    <w:p>
      <w:pPr>
        <w:framePr w:w="1224" w:x="7372" w:y="86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9.22</w:t>
      </w:r>
      <w:r>
        <w:rPr>
          <w:rFonts w:ascii="SimSun" w:eastAsiaTheme="minorEastAsia" w:hAnsiTheme="minorHAnsi" w:cstheme="minorBidi"/>
          <w:color w:val="000000"/>
          <w:spacing w:val="24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46</w:t>
      </w:r>
    </w:p>
    <w:p>
      <w:pPr>
        <w:framePr w:w="1085" w:x="8653" w:y="8645"/>
        <w:widowControl w:val="0"/>
        <w:autoSpaceDE w:val="0"/>
        <w:autoSpaceDN w:val="0"/>
        <w:spacing w:line="211" w:lineRule="exact"/>
        <w:ind w:left="31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99.18</w:t>
      </w:r>
    </w:p>
    <w:p>
      <w:pPr>
        <w:framePr w:w="1085" w:x="8653" w:y="864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16,941,6</w:t>
      </w:r>
    </w:p>
    <w:p>
      <w:pPr>
        <w:framePr w:w="1085" w:x="8653" w:y="8645"/>
        <w:widowControl w:val="0"/>
        <w:autoSpaceDE w:val="0"/>
        <w:autoSpaceDN w:val="0"/>
        <w:spacing w:before="60" w:line="211" w:lineRule="exact"/>
        <w:ind w:left="31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05.63</w:t>
      </w:r>
    </w:p>
    <w:p>
      <w:pPr>
        <w:framePr w:w="1296" w:x="10423" w:y="8645"/>
        <w:widowControl w:val="0"/>
        <w:autoSpaceDE w:val="0"/>
        <w:autoSpaceDN w:val="0"/>
        <w:spacing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0.04</w:t>
      </w:r>
    </w:p>
    <w:p>
      <w:pPr>
        <w:framePr w:w="1296" w:x="10423" w:y="864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286,626,64</w:t>
      </w:r>
    </w:p>
    <w:p>
      <w:pPr>
        <w:framePr w:w="1296" w:x="10423" w:y="8645"/>
        <w:widowControl w:val="0"/>
        <w:autoSpaceDE w:val="0"/>
        <w:autoSpaceDN w:val="0"/>
        <w:spacing w:before="60"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0.04</w:t>
      </w:r>
    </w:p>
    <w:p>
      <w:pPr>
        <w:framePr w:w="1762" w:x="1860" w:y="89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219,515,16</w:t>
      </w:r>
      <w:r>
        <w:rPr>
          <w:rFonts w:ascii="SimSun" w:eastAsiaTheme="minorEastAsia" w:hAnsiTheme="minorHAnsi" w:cstheme="minorBidi"/>
          <w:color w:val="000000"/>
          <w:spacing w:val="25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p>
    <w:p>
      <w:pPr>
        <w:framePr w:w="1762" w:x="1860" w:y="8929"/>
        <w:widowControl w:val="0"/>
        <w:autoSpaceDE w:val="0"/>
        <w:autoSpaceDN w:val="0"/>
        <w:spacing w:before="60"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6.02</w:t>
      </w:r>
    </w:p>
    <w:p>
      <w:pPr>
        <w:framePr w:w="346" w:x="5077" w:y="89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804" w:x="5670" w:y="89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207,747,</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303,568,24</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p>
    <w:p>
      <w:pPr>
        <w:framePr w:w="346" w:x="9902" w:y="89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662" w:x="806" w:y="90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874" w:x="5879" w:y="92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577.03</w:t>
      </w:r>
    </w:p>
    <w:p>
      <w:pPr>
        <w:framePr w:w="662" w:x="7372" w:y="92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5.67</w:t>
      </w:r>
    </w:p>
    <w:p>
      <w:pPr>
        <w:framePr w:w="2352" w:x="1798" w:y="96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按单项计提坏账准备：</w:t>
      </w:r>
    </w:p>
    <w:p>
      <w:pPr>
        <w:framePr w:w="2352" w:x="1798" w:y="960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2" w:y="106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119" w:x="6844" w:y="11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119" w:x="6844" w:y="11079"/>
        <w:widowControl w:val="0"/>
        <w:autoSpaceDE w:val="0"/>
        <w:autoSpaceDN w:val="0"/>
        <w:spacing w:before="72" w:line="211" w:lineRule="exact"/>
        <w:ind w:left="5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662" w:x="2530" w:y="112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085" w:x="4220" w:y="113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5919" w:y="113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085" w:x="9393" w:y="113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计提理由</w:t>
      </w:r>
    </w:p>
    <w:p>
      <w:pPr>
        <w:framePr w:w="1394" w:x="1798" w:y="116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客户一</w:t>
      </w:r>
    </w:p>
    <w:p>
      <w:pPr>
        <w:framePr w:w="1394" w:x="1798" w:y="1164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客户二</w:t>
      </w:r>
    </w:p>
    <w:p>
      <w:pPr>
        <w:framePr w:w="1394" w:x="1798" w:y="11643"/>
        <w:widowControl w:val="0"/>
        <w:autoSpaceDE w:val="0"/>
        <w:autoSpaceDN w:val="0"/>
        <w:spacing w:before="70" w:line="211" w:lineRule="exact"/>
        <w:ind w:left="73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4331" w:y="116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231,529.13</w:t>
      </w:r>
    </w:p>
    <w:p>
      <w:pPr>
        <w:framePr w:w="1296" w:x="4331" w:y="1164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494,487.37</w:t>
      </w:r>
    </w:p>
    <w:p>
      <w:pPr>
        <w:framePr w:w="1296" w:x="4331" w:y="1164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726,016.50</w:t>
      </w:r>
    </w:p>
    <w:p>
      <w:pPr>
        <w:framePr w:w="1296" w:x="6032" w:y="116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231,529.13</w:t>
      </w:r>
    </w:p>
    <w:p>
      <w:pPr>
        <w:framePr w:w="1296" w:x="6032" w:y="1164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494,487.37</w:t>
      </w:r>
    </w:p>
    <w:p>
      <w:pPr>
        <w:framePr w:w="1296" w:x="6032" w:y="1164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726,016.50</w:t>
      </w:r>
    </w:p>
    <w:p>
      <w:pPr>
        <w:framePr w:w="2034" w:x="8466" w:y="116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预计无法收回</w:t>
      </w:r>
    </w:p>
    <w:p>
      <w:pPr>
        <w:framePr w:w="2034" w:x="8466" w:y="1164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预计无法收回</w:t>
      </w:r>
    </w:p>
    <w:p>
      <w:pPr>
        <w:framePr w:w="557" w:x="8466" w:y="122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346" w:x="9760" w:y="122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986" w:x="1798" w:y="12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按单项计提坏账准备的说明：</w:t>
      </w:r>
    </w:p>
    <w:p>
      <w:pPr>
        <w:framePr w:w="2986" w:x="1798" w:y="1261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2" w:x="1798" w:y="136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按组合计提坏账准备：</w:t>
      </w:r>
    </w:p>
    <w:p>
      <w:pPr>
        <w:framePr w:w="2352" w:x="1798" w:y="1366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3" w:x="1798" w:y="147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组合计提项目：账龄组合</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99" type="#_x0000_t75" style="width:445.6pt;height:2.7pt;margin-top:53.65pt;margin-left:87.45pt;mso-position-horizontal-relative:page;mso-position-vertical-relative:page;position:absolute;z-index:-251211776">
            <v:imagedata r:id="rId216" o:title=""/>
          </v:shape>
        </w:pict>
      </w:r>
      <w:r>
        <w:rPr>
          <w:noProof/>
        </w:rPr>
        <w:pict>
          <v:shape id="_x0000_s1300" type="#_x0000_t75" style="width:461.55pt;height:129.6pt;margin-top:74.3pt;margin-left:83.25pt;mso-position-horizontal-relative:page;mso-position-vertical-relative:page;position:absolute;z-index:-251277312">
            <v:imagedata r:id="rId217" o:title=""/>
          </v:shape>
        </w:pict>
      </w:r>
      <w:r>
        <w:rPr>
          <w:noProof/>
        </w:rPr>
        <w:pict>
          <v:shape id="_x0000_s1301" type="#_x0000_t75" style="width:562.65pt;height:211.35pt;margin-top:262.35pt;margin-left:17.7pt;mso-position-horizontal-relative:page;mso-position-vertical-relative:page;position:absolute;z-index:-251380736">
            <v:imagedata r:id="rId218" o:title=""/>
          </v:shape>
        </w:pict>
      </w:r>
      <w:r>
        <w:rPr>
          <w:noProof/>
        </w:rPr>
        <w:pict>
          <v:shape id="_x0000_s1302" type="#_x0000_t75" style="width:454.95pt;height:73.05pt;margin-top:551pt;margin-left:83.25pt;mso-position-horizontal-relative:page;mso-position-vertical-relative:page;position:absolute;z-index:-251524096">
            <v:imagedata r:id="rId219" o:title=""/>
          </v:shape>
        </w:pict>
      </w:r>
    </w:p>
    <w:p>
      <w:pPr>
        <w:spacing w:line="0" w:lineRule="atLeast"/>
        <w:rPr>
          <w:rFonts w:ascii="Arial" w:eastAsiaTheme="minorEastAsia" w:hAnsiTheme="minorHAnsi" w:cstheme="minorBidi"/>
          <w:color w:val="FF0000"/>
          <w:sz w:val="2"/>
          <w:szCs w:val="22"/>
          <w:lang w:val="en-US" w:eastAsia="en-US" w:bidi="ar-SA"/>
        </w:rPr>
      </w:pPr>
      <w:bookmarkStart w:id="132" w:name="br1_131"/>
      <w:bookmarkEnd w:id="13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554" w:x="8217"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92" w:x="6841"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92" w:x="6841" w:y="18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662" w:x="2528" w:y="19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085" w:x="4520"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613" w:x="8911"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030" w:x="1798" w:y="2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1798" w:y="23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年</w:t>
      </w:r>
    </w:p>
    <w:p>
      <w:pPr>
        <w:framePr w:w="1718" w:x="4515" w:y="2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218,108,382.84</w:t>
      </w:r>
    </w:p>
    <w:p>
      <w:pPr>
        <w:framePr w:w="1718" w:x="4515" w:y="2383"/>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680,766.68</w:t>
      </w:r>
    </w:p>
    <w:p>
      <w:pPr>
        <w:framePr w:w="1613" w:x="6973" w:y="2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10,905,419.15</w:t>
      </w:r>
    </w:p>
    <w:p>
      <w:pPr>
        <w:framePr w:w="1613" w:x="6973" w:y="2383"/>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136,153.34</w:t>
      </w:r>
    </w:p>
    <w:p>
      <w:pPr>
        <w:framePr w:w="451" w:x="10420" w:y="238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451" w:x="10420" w:y="2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662" w:x="2528" w:y="2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4515" w:y="29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218,789,149.52</w:t>
      </w:r>
    </w:p>
    <w:p>
      <w:pPr>
        <w:framePr w:w="1613" w:x="6973" w:y="29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11,041,572.49</w:t>
      </w:r>
    </w:p>
    <w:p>
      <w:pPr>
        <w:framePr w:w="662" w:x="10212" w:y="29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5.05</w:t>
      </w:r>
    </w:p>
    <w:p>
      <w:pPr>
        <w:framePr w:w="3619" w:x="1798" w:y="3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按组合计提坏账的确认标准及说明：</w:t>
      </w:r>
    </w:p>
    <w:p>
      <w:pPr>
        <w:framePr w:w="3619" w:x="1798" w:y="335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576" w:x="1798" w:y="44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如按预期信用损失一般模型计提坏账准备，请参照其他应收款披露：</w:t>
      </w:r>
    </w:p>
    <w:p>
      <w:pPr>
        <w:framePr w:w="5809" w:x="1798" w:y="4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坏账准备的情况</w:t>
      </w:r>
    </w:p>
    <w:p>
      <w:pPr>
        <w:framePr w:w="5809" w:x="1798" w:y="493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809" w:x="1798" w:y="4937"/>
        <w:widowControl w:val="0"/>
        <w:autoSpaceDE w:val="0"/>
        <w:autoSpaceDN w:val="0"/>
        <w:spacing w:before="343" w:line="211" w:lineRule="exact"/>
        <w:ind w:left="43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本期变动金额</w:t>
      </w:r>
    </w:p>
    <w:p>
      <w:pPr>
        <w:framePr w:w="2554" w:x="8320" w:y="57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1613" w:y="62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2938" w:y="62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8701" w:y="63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8701" w:y="630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变动</w:t>
      </w:r>
    </w:p>
    <w:p>
      <w:pPr>
        <w:framePr w:w="1085" w:x="9744" w:y="62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4688" w:y="6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1296" w:x="5910" w:y="6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收回或转回</w:t>
      </w:r>
    </w:p>
    <w:p>
      <w:pPr>
        <w:framePr w:w="1296" w:x="7345" w:y="6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转销或核销</w:t>
      </w:r>
    </w:p>
    <w:p>
      <w:pPr>
        <w:framePr w:w="1296" w:x="1200" w:y="68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应收账款坏</w:t>
      </w:r>
    </w:p>
    <w:p>
      <w:pPr>
        <w:framePr w:w="1296" w:x="1200" w:y="685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账准备</w:t>
      </w:r>
    </w:p>
    <w:p>
      <w:pPr>
        <w:framePr w:w="5963" w:x="2676" w:y="68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16,941,605.63</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6,652,992.46</w:t>
      </w:r>
      <w:r>
        <w:rPr>
          <w:rFonts w:ascii="SimSun" w:eastAsiaTheme="minorEastAsia" w:hAnsiTheme="minorHAnsi" w:cstheme="minorBidi"/>
          <w:color w:val="000000"/>
          <w:spacing w:val="1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11,363,054.63</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463,954.47</w:t>
      </w:r>
    </w:p>
    <w:p>
      <w:pPr>
        <w:framePr w:w="5963" w:x="2676" w:y="6857"/>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16,941,605.63</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6,652,992.46</w:t>
      </w:r>
      <w:r>
        <w:rPr>
          <w:rFonts w:ascii="SimSun" w:eastAsiaTheme="minorEastAsia" w:hAnsiTheme="minorHAnsi" w:cstheme="minorBidi"/>
          <w:color w:val="000000"/>
          <w:spacing w:val="1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11,363,054.63</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463,954.47</w:t>
      </w:r>
    </w:p>
    <w:p>
      <w:pPr>
        <w:framePr w:w="1613" w:x="9535" w:y="68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11,767,588.99</w:t>
      </w:r>
    </w:p>
    <w:p>
      <w:pPr>
        <w:framePr w:w="1613" w:x="9535" w:y="6857"/>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11,767,588.99</w:t>
      </w:r>
    </w:p>
    <w:p>
      <w:pPr>
        <w:framePr w:w="662" w:x="1613" w:y="74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4253" w:x="1798" w:y="78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其中本期坏账准备收回或转回金额重要的：</w:t>
      </w:r>
    </w:p>
    <w:p>
      <w:pPr>
        <w:framePr w:w="4253" w:x="1798" w:y="781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9" w:x="1798" w:y="88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本期实际核销的应收账款情况</w:t>
      </w:r>
    </w:p>
    <w:p>
      <w:pPr>
        <w:framePr w:w="3409" w:x="1798" w:y="887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43" w:x="7931" w:y="9673"/>
        <w:widowControl w:val="0"/>
        <w:autoSpaceDE w:val="0"/>
        <w:autoSpaceDN w:val="0"/>
        <w:spacing w:line="211" w:lineRule="exact"/>
        <w:ind w:left="38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943" w:x="7931" w:y="967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核销金额</w:t>
      </w:r>
    </w:p>
    <w:p>
      <w:pPr>
        <w:framePr w:w="662" w:x="3615" w:y="99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141" w:x="1798" w:y="10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实际核销的应收账款</w:t>
      </w:r>
    </w:p>
    <w:p>
      <w:pPr>
        <w:framePr w:w="1296" w:x="9580" w:y="102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463,954.47</w:t>
      </w:r>
    </w:p>
    <w:p>
      <w:pPr>
        <w:framePr w:w="2986" w:x="1798" w:y="106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其中重要的应收账款核销情况</w:t>
      </w:r>
    </w:p>
    <w:p>
      <w:pPr>
        <w:framePr w:w="2986" w:x="1798" w:y="1064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6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696"/>
        <w:widowControl w:val="0"/>
        <w:autoSpaceDE w:val="0"/>
        <w:autoSpaceDN w:val="0"/>
        <w:spacing w:before="72" w:line="211" w:lineRule="exact"/>
        <w:ind w:left="74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款项是否由关联</w:t>
      </w:r>
    </w:p>
    <w:p>
      <w:pPr>
        <w:framePr w:w="1296" w:x="3243" w:y="119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应收账款性</w:t>
      </w:r>
    </w:p>
    <w:p>
      <w:pPr>
        <w:framePr w:w="1274" w:x="1798" w:y="12116"/>
        <w:widowControl w:val="0"/>
        <w:autoSpaceDE w:val="0"/>
        <w:autoSpaceDN w:val="0"/>
        <w:spacing w:line="211" w:lineRule="exact"/>
        <w:ind w:left="19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274" w:x="1798" w:y="12116"/>
        <w:widowControl w:val="0"/>
        <w:autoSpaceDE w:val="0"/>
        <w:autoSpaceDN w:val="0"/>
        <w:spacing w:before="20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客户一</w:t>
      </w:r>
    </w:p>
    <w:p>
      <w:pPr>
        <w:framePr w:w="1274" w:x="1798" w:y="1211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客户二</w:t>
      </w:r>
    </w:p>
    <w:p>
      <w:pPr>
        <w:framePr w:w="1274" w:x="1798" w:y="12116"/>
        <w:widowControl w:val="0"/>
        <w:autoSpaceDE w:val="0"/>
        <w:autoSpaceDN w:val="0"/>
        <w:spacing w:before="70" w:line="211" w:lineRule="exact"/>
        <w:ind w:left="40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4712" w:y="121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核销金额</w:t>
      </w:r>
    </w:p>
    <w:p>
      <w:pPr>
        <w:framePr w:w="1085" w:x="6107" w:y="121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核销原因</w:t>
      </w:r>
    </w:p>
    <w:p>
      <w:pPr>
        <w:framePr w:w="1718" w:x="7336" w:y="121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履行的核销程序</w:t>
      </w:r>
    </w:p>
    <w:p>
      <w:pPr>
        <w:framePr w:w="451" w:x="3663" w:y="12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质</w:t>
      </w:r>
    </w:p>
    <w:p>
      <w:pPr>
        <w:framePr w:w="1085" w:x="9379" w:y="12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交易产生</w:t>
      </w:r>
    </w:p>
    <w:p>
      <w:pPr>
        <w:framePr w:w="662" w:x="3156" w:y="125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货款</w:t>
      </w:r>
    </w:p>
    <w:p>
      <w:pPr>
        <w:framePr w:w="662" w:x="3156" w:y="1253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货款</w:t>
      </w:r>
    </w:p>
    <w:p>
      <w:pPr>
        <w:framePr w:w="2268" w:x="4693" w:y="125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214,376.47</w:t>
      </w:r>
      <w:r>
        <w:rPr>
          <w:rFonts w:ascii="SimSun" w:eastAsiaTheme="minorEastAsia" w:hAnsiTheme="minorHAnsi" w:cstheme="minorBidi"/>
          <w:color w:val="000000"/>
          <w:spacing w:val="27"/>
          <w:sz w:val="21"/>
          <w:szCs w:val="22"/>
          <w:lang w:val="en-US" w:eastAsia="en-US" w:bidi="ar-SA"/>
        </w:rPr>
        <w:t xml:space="preserve"> </w:t>
      </w:r>
      <w:r>
        <w:rPr>
          <w:rFonts w:ascii="SimSun" w:hAnsi="SimSun" w:eastAsiaTheme="minorEastAsia" w:cs="SimSun"/>
          <w:color w:val="000000"/>
          <w:sz w:val="21"/>
          <w:szCs w:val="22"/>
          <w:lang w:val="en-US" w:eastAsia="en-US" w:bidi="ar-SA"/>
        </w:rPr>
        <w:t>无法收回</w:t>
      </w:r>
    </w:p>
    <w:p>
      <w:pPr>
        <w:framePr w:w="2268" w:x="4693" w:y="1253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249,578.00</w:t>
      </w:r>
      <w:r>
        <w:rPr>
          <w:rFonts w:ascii="SimSun" w:eastAsiaTheme="minorEastAsia" w:hAnsiTheme="minorHAnsi" w:cstheme="minorBidi"/>
          <w:color w:val="000000"/>
          <w:spacing w:val="27"/>
          <w:sz w:val="21"/>
          <w:szCs w:val="22"/>
          <w:lang w:val="en-US" w:eastAsia="en-US" w:bidi="ar-SA"/>
        </w:rPr>
        <w:t xml:space="preserve"> </w:t>
      </w:r>
      <w:r>
        <w:rPr>
          <w:rFonts w:ascii="SimSun" w:hAnsi="SimSun" w:eastAsiaTheme="minorEastAsia" w:cs="SimSun"/>
          <w:color w:val="000000"/>
          <w:sz w:val="21"/>
          <w:szCs w:val="22"/>
          <w:lang w:val="en-US" w:eastAsia="en-US" w:bidi="ar-SA"/>
        </w:rPr>
        <w:t>无法收回</w:t>
      </w:r>
    </w:p>
    <w:p>
      <w:pPr>
        <w:framePr w:w="1296" w:x="7240" w:y="125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总经理审批</w:t>
      </w:r>
    </w:p>
    <w:p>
      <w:pPr>
        <w:framePr w:w="1296" w:x="7240" w:y="1253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总经理审批</w:t>
      </w:r>
    </w:p>
    <w:p>
      <w:pPr>
        <w:framePr w:w="1296" w:x="7240" w:y="12534"/>
        <w:widowControl w:val="0"/>
        <w:autoSpaceDE w:val="0"/>
        <w:autoSpaceDN w:val="0"/>
        <w:spacing w:before="70" w:line="211" w:lineRule="exact"/>
        <w:ind w:left="78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451" w:x="8966" w:y="125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8966" w:y="1253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346" w:x="3997" w:y="130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296" w:x="4693" w:y="130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463,954.47</w:t>
      </w:r>
    </w:p>
    <w:p>
      <w:pPr>
        <w:framePr w:w="346" w:x="6474" w:y="130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9746" w:y="130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141" w:x="1798" w:y="135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应收账款核销说明：</w:t>
      </w:r>
    </w:p>
    <w:p>
      <w:pPr>
        <w:framePr w:w="2141" w:x="1798" w:y="1350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098" w:x="1798" w:y="145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(5).</w:t>
      </w:r>
      <w:r>
        <w:rPr>
          <w:rFonts w:ascii="SimSun" w:hAnsi="SimSun" w:eastAsiaTheme="minorEastAsia" w:cs="SimSun"/>
          <w:color w:val="000000"/>
          <w:spacing w:val="1"/>
          <w:sz w:val="21"/>
          <w:szCs w:val="22"/>
          <w:lang w:val="en-US" w:eastAsia="en-US" w:bidi="ar-SA"/>
        </w:rPr>
        <w:t>按欠款方归集的期末余额前五名的应收账款情况</w:t>
      </w:r>
    </w:p>
    <w:p>
      <w:pPr>
        <w:framePr w:w="1922" w:x="1798" w:y="148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03" type="#_x0000_t75" style="width:445.6pt;height:2.7pt;margin-top:53.65pt;margin-left:87.45pt;mso-position-horizontal-relative:page;mso-position-vertical-relative:page;position:absolute;z-index:-251186176">
            <v:imagedata r:id="rId220" o:title=""/>
          </v:shape>
        </w:pict>
      </w:r>
      <w:r>
        <w:rPr>
          <w:noProof/>
        </w:rPr>
        <w:pict>
          <v:shape id="_x0000_s1304" type="#_x0000_t75" style="width:454.95pt;height:73.05pt;margin-top:88pt;margin-left:83.25pt;mso-position-horizontal-relative:page;mso-position-vertical-relative:page;position:absolute;z-index:-251210752">
            <v:imagedata r:id="rId221" o:title=""/>
          </v:shape>
        </w:pict>
      </w:r>
      <w:r>
        <w:rPr>
          <w:noProof/>
        </w:rPr>
        <w:pict>
          <v:shape id="_x0000_s1305" type="#_x0000_t75" style="width:498.65pt;height:86.25pt;margin-top:298pt;margin-left:53.25pt;mso-position-horizontal-relative:page;mso-position-vertical-relative:page;position:absolute;z-index:-251276288">
            <v:imagedata r:id="rId222" o:title=""/>
          </v:shape>
        </w:pict>
      </w:r>
      <w:r>
        <w:rPr>
          <w:noProof/>
        </w:rPr>
        <w:pict>
          <v:shape id="_x0000_s1306" type="#_x0000_t75" style="width:454.95pt;height:30.8pt;margin-top:494.7pt;margin-left:83.25pt;mso-position-horizontal-relative:page;mso-position-vertical-relative:page;position:absolute;z-index:-251379712">
            <v:imagedata r:id="rId223" o:title=""/>
          </v:shape>
        </w:pict>
      </w:r>
      <w:r>
        <w:rPr>
          <w:noProof/>
        </w:rPr>
        <w:pict>
          <v:shape id="_x0000_s1307" type="#_x0000_t75" style="width:447.3pt;height:72.6pt;margin-top:596pt;margin-left:87.1pt;mso-position-horizontal-relative:page;mso-position-vertical-relative:page;position:absolute;z-index:-251523072">
            <v:imagedata r:id="rId224" o:title=""/>
          </v:shape>
        </w:pict>
      </w:r>
    </w:p>
    <w:p>
      <w:pPr>
        <w:spacing w:line="0" w:lineRule="atLeast"/>
        <w:rPr>
          <w:rFonts w:ascii="Arial" w:eastAsiaTheme="minorEastAsia" w:hAnsiTheme="minorHAnsi" w:cstheme="minorBidi"/>
          <w:color w:val="FF0000"/>
          <w:sz w:val="2"/>
          <w:szCs w:val="22"/>
          <w:lang w:val="en-US" w:eastAsia="en-US" w:bidi="ar-SA"/>
        </w:rPr>
      </w:pPr>
      <w:bookmarkStart w:id="133" w:name="br1_132"/>
      <w:bookmarkEnd w:id="13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930" w:x="6769" w:y="18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占应收账款期末余</w:t>
      </w:r>
    </w:p>
    <w:p>
      <w:pPr>
        <w:framePr w:w="1085" w:x="2741" w:y="1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085" w:x="5204" w:y="1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718" w:x="8930" w:y="1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已计提坏账准备</w:t>
      </w:r>
    </w:p>
    <w:p>
      <w:pPr>
        <w:framePr w:w="1402" w:x="7033"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额的比例</w:t>
      </w:r>
      <w:r>
        <w:rPr>
          <w:rFonts w:ascii="SimSun" w:eastAsiaTheme="minorEastAsia" w:hAnsiTheme="minorHAnsi" w:cstheme="minorBidi"/>
          <w:color w:val="000000"/>
          <w:spacing w:val="-1"/>
          <w:sz w:val="21"/>
          <w:szCs w:val="22"/>
          <w:lang w:val="en-US" w:eastAsia="en-US" w:bidi="ar-SA"/>
        </w:rPr>
        <w:t>(%)</w:t>
      </w:r>
    </w:p>
    <w:p>
      <w:pPr>
        <w:framePr w:w="1402" w:x="7033" w:y="2112"/>
        <w:widowControl w:val="0"/>
        <w:autoSpaceDE w:val="0"/>
        <w:autoSpaceDN w:val="0"/>
        <w:spacing w:before="106" w:line="211" w:lineRule="exact"/>
        <w:ind w:left="36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9.44</w:t>
      </w:r>
    </w:p>
    <w:p>
      <w:pPr>
        <w:framePr w:w="874" w:x="2844" w:y="24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客户一</w:t>
      </w:r>
    </w:p>
    <w:p>
      <w:pPr>
        <w:framePr w:w="874" w:x="2844" w:y="2429"/>
        <w:widowControl w:val="0"/>
        <w:autoSpaceDE w:val="0"/>
        <w:autoSpaceDN w:val="0"/>
        <w:spacing w:before="13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客户二</w:t>
      </w:r>
    </w:p>
    <w:p>
      <w:pPr>
        <w:framePr w:w="874" w:x="2844" w:y="242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客户三</w:t>
      </w:r>
    </w:p>
    <w:p>
      <w:pPr>
        <w:framePr w:w="874" w:x="2844" w:y="242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客户四</w:t>
      </w:r>
    </w:p>
    <w:p>
      <w:pPr>
        <w:framePr w:w="874" w:x="2844" w:y="242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客户五</w:t>
      </w:r>
    </w:p>
    <w:p>
      <w:pPr>
        <w:framePr w:w="874" w:x="2844" w:y="2429"/>
        <w:widowControl w:val="0"/>
        <w:autoSpaceDE w:val="0"/>
        <w:autoSpaceDN w:val="0"/>
        <w:spacing w:before="139"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4943" w:y="24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20,725,853.13</w:t>
      </w:r>
    </w:p>
    <w:p>
      <w:pPr>
        <w:framePr w:w="1613" w:x="4943" w:y="2429"/>
        <w:widowControl w:val="0"/>
        <w:autoSpaceDE w:val="0"/>
        <w:autoSpaceDN w:val="0"/>
        <w:spacing w:before="13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16,304,159.12</w:t>
      </w:r>
    </w:p>
    <w:p>
      <w:pPr>
        <w:framePr w:w="1613" w:x="4943" w:y="242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14,586,126.85</w:t>
      </w:r>
    </w:p>
    <w:p>
      <w:pPr>
        <w:framePr w:w="1613" w:x="4943" w:y="242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11,799,955.41</w:t>
      </w:r>
    </w:p>
    <w:p>
      <w:pPr>
        <w:framePr w:w="1613" w:x="4943" w:y="242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10,529,760.00</w:t>
      </w:r>
    </w:p>
    <w:p>
      <w:pPr>
        <w:framePr w:w="1613" w:x="4943" w:y="242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73,945,854.51</w:t>
      </w:r>
    </w:p>
    <w:p>
      <w:pPr>
        <w:framePr w:w="1507" w:x="9036" w:y="24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1,036,292.66</w:t>
      </w:r>
    </w:p>
    <w:p>
      <w:pPr>
        <w:framePr w:w="1507" w:x="9036" w:y="2429"/>
        <w:widowControl w:val="0"/>
        <w:autoSpaceDE w:val="0"/>
        <w:autoSpaceDN w:val="0"/>
        <w:spacing w:before="13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815,207.96</w:t>
      </w:r>
    </w:p>
    <w:p>
      <w:pPr>
        <w:framePr w:w="1507" w:x="9036" w:y="2429"/>
        <w:widowControl w:val="0"/>
        <w:autoSpaceDE w:val="0"/>
        <w:autoSpaceDN w:val="0"/>
        <w:spacing w:before="139"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729,306.34</w:t>
      </w:r>
    </w:p>
    <w:p>
      <w:pPr>
        <w:framePr w:w="1507" w:x="9036" w:y="2429"/>
        <w:widowControl w:val="0"/>
        <w:autoSpaceDE w:val="0"/>
        <w:autoSpaceDN w:val="0"/>
        <w:spacing w:before="139"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589,997.77</w:t>
      </w:r>
    </w:p>
    <w:p>
      <w:pPr>
        <w:framePr w:w="1507" w:x="9036" w:y="2429"/>
        <w:widowControl w:val="0"/>
        <w:autoSpaceDE w:val="0"/>
        <w:autoSpaceDN w:val="0"/>
        <w:spacing w:before="139"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526,488.00</w:t>
      </w:r>
    </w:p>
    <w:p>
      <w:pPr>
        <w:framePr w:w="1507" w:x="9036" w:y="242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3,697,292.73</w:t>
      </w:r>
    </w:p>
    <w:p>
      <w:pPr>
        <w:framePr w:w="662" w:x="7401" w:y="27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7.43</w:t>
      </w:r>
    </w:p>
    <w:p>
      <w:pPr>
        <w:framePr w:w="768" w:x="7348" w:y="3127"/>
        <w:widowControl w:val="0"/>
        <w:autoSpaceDE w:val="0"/>
        <w:autoSpaceDN w:val="0"/>
        <w:spacing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6.64</w:t>
      </w:r>
    </w:p>
    <w:p>
      <w:pPr>
        <w:framePr w:w="768" w:x="7348" w:y="3127"/>
        <w:widowControl w:val="0"/>
        <w:autoSpaceDE w:val="0"/>
        <w:autoSpaceDN w:val="0"/>
        <w:spacing w:before="139"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5.38</w:t>
      </w:r>
    </w:p>
    <w:p>
      <w:pPr>
        <w:framePr w:w="768" w:x="7348" w:y="3127"/>
        <w:widowControl w:val="0"/>
        <w:autoSpaceDE w:val="0"/>
        <w:autoSpaceDN w:val="0"/>
        <w:spacing w:before="139"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4.80</w:t>
      </w:r>
    </w:p>
    <w:p>
      <w:pPr>
        <w:framePr w:w="768" w:x="7348" w:y="3127"/>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33.69</w:t>
      </w:r>
    </w:p>
    <w:p>
      <w:pPr>
        <w:framePr w:w="4253" w:x="1798" w:y="49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(6).</w:t>
      </w:r>
      <w:r>
        <w:rPr>
          <w:rFonts w:ascii="SimSun" w:hAnsi="SimSun" w:eastAsiaTheme="minorEastAsia" w:cs="SimSun"/>
          <w:color w:val="000000"/>
          <w:spacing w:val="1"/>
          <w:sz w:val="21"/>
          <w:szCs w:val="22"/>
          <w:lang w:val="en-US" w:eastAsia="en-US" w:bidi="ar-SA"/>
        </w:rPr>
        <w:t>因金融资产转移而终止确认的应收账款</w:t>
      </w:r>
    </w:p>
    <w:p>
      <w:pPr>
        <w:framePr w:w="4253" w:x="1798" w:y="490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098" w:x="1798" w:y="5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(7).</w:t>
      </w:r>
      <w:r>
        <w:rPr>
          <w:rFonts w:ascii="SimSun" w:hAnsi="SimSun" w:eastAsiaTheme="minorEastAsia" w:cs="SimSun"/>
          <w:color w:val="000000"/>
          <w:spacing w:val="1"/>
          <w:sz w:val="21"/>
          <w:szCs w:val="22"/>
          <w:lang w:val="en-US" w:eastAsia="en-US" w:bidi="ar-SA"/>
        </w:rPr>
        <w:t>转移应收账款且继续涉入形成的资产、负债金额</w:t>
      </w:r>
    </w:p>
    <w:p>
      <w:pPr>
        <w:framePr w:w="5098" w:x="1798" w:y="596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7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922" w:x="1798" w:y="75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7" w:x="1798" w:y="8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应收款项融资</w:t>
      </w:r>
    </w:p>
    <w:p>
      <w:pPr>
        <w:framePr w:w="1817" w:x="1798" w:y="86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2" w:x="8418" w:y="8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2" w:x="8418" w:y="8878"/>
        <w:widowControl w:val="0"/>
        <w:autoSpaceDE w:val="0"/>
        <w:autoSpaceDN w:val="0"/>
        <w:spacing w:before="72" w:line="211" w:lineRule="exact"/>
        <w:ind w:left="44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101" w:y="91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3101" w:y="9161"/>
        <w:widowControl w:val="0"/>
        <w:autoSpaceDE w:val="0"/>
        <w:autoSpaceDN w:val="0"/>
        <w:spacing w:before="3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005" w:x="5963" w:y="91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005" w:x="5963" w:y="9161"/>
        <w:widowControl w:val="0"/>
        <w:autoSpaceDE w:val="0"/>
        <w:autoSpaceDN w:val="0"/>
        <w:spacing w:before="77" w:line="211" w:lineRule="exact"/>
        <w:ind w:left="39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10,688,694.00</w:t>
      </w:r>
    </w:p>
    <w:p>
      <w:pPr>
        <w:framePr w:w="2005" w:x="5963" w:y="9161"/>
        <w:widowControl w:val="0"/>
        <w:autoSpaceDE w:val="0"/>
        <w:autoSpaceDN w:val="0"/>
        <w:spacing w:before="74" w:line="211" w:lineRule="exact"/>
        <w:ind w:left="39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10,688,694.00</w:t>
      </w:r>
    </w:p>
    <w:p>
      <w:pPr>
        <w:framePr w:w="1507" w:x="1798" w:y="94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银行承兑汇票</w:t>
      </w:r>
    </w:p>
    <w:p>
      <w:pPr>
        <w:framePr w:w="1613" w:x="9266" w:y="94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1613" w:x="9266" w:y="9449"/>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4886" w:x="1798" w:y="101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应收款项融资本期增减变动及公允价值变动情况：</w:t>
      </w:r>
    </w:p>
    <w:p>
      <w:pPr>
        <w:framePr w:w="4886" w:x="1798" w:y="1013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576" w:x="1798" w:y="111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如按预期信用损失一般模型计提坏账准备，请参照其他应收款披露：</w:t>
      </w:r>
    </w:p>
    <w:p>
      <w:pPr>
        <w:framePr w:w="1817" w:x="1798" w:y="117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172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27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278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预付款项</w:t>
      </w:r>
    </w:p>
    <w:p>
      <w:pPr>
        <w:framePr w:w="2568" w:x="1798" w:y="138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预付款项按账龄列示</w:t>
      </w:r>
    </w:p>
    <w:p>
      <w:pPr>
        <w:framePr w:w="2568" w:x="1798" w:y="1384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8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08" type="#_x0000_t75" style="width:445.6pt;height:2.7pt;margin-top:53.65pt;margin-left:87.45pt;mso-position-horizontal-relative:page;mso-position-vertical-relative:page;position:absolute;z-index:-251275264">
            <v:imagedata r:id="rId225" o:title=""/>
          </v:shape>
        </w:pict>
      </w:r>
      <w:r>
        <w:rPr>
          <w:noProof/>
        </w:rPr>
        <w:pict>
          <v:shape id="_x0000_s1309" type="#_x0000_t75" style="width:454.7pt;height:137.25pt;margin-top:88pt;margin-left:82.8pt;mso-position-horizontal-relative:page;mso-position-vertical-relative:page;position:absolute;z-index:-251378688">
            <v:imagedata r:id="rId226" o:title=""/>
          </v:shape>
        </w:pict>
      </w:r>
      <w:r>
        <w:rPr>
          <w:noProof/>
        </w:rPr>
        <w:pict>
          <v:shape id="_x0000_s1310" type="#_x0000_t75" style="width:454.95pt;height:45.3pt;margin-top:455.1pt;margin-left:83.25pt;mso-position-horizontal-relative:page;mso-position-vertical-relative:page;position:absolute;z-index:-251522048">
            <v:imagedata r:id="rId227" o:title=""/>
          </v:shape>
        </w:pict>
      </w:r>
    </w:p>
    <w:p>
      <w:pPr>
        <w:spacing w:line="0" w:lineRule="atLeast"/>
        <w:rPr>
          <w:rFonts w:ascii="Arial" w:eastAsiaTheme="minorEastAsia" w:hAnsiTheme="minorHAnsi" w:cstheme="minorBidi"/>
          <w:color w:val="FF0000"/>
          <w:sz w:val="2"/>
          <w:szCs w:val="22"/>
          <w:lang w:val="en-US" w:eastAsia="en-US" w:bidi="ar-SA"/>
        </w:rPr>
      </w:pPr>
      <w:bookmarkStart w:id="134" w:name="br1_133"/>
      <w:bookmarkEnd w:id="13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4566"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8404"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2165" w:y="1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662" w:x="3819"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450" w:x="5583"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1450" w:x="5583" w:y="1829"/>
        <w:widowControl w:val="0"/>
        <w:autoSpaceDE w:val="0"/>
        <w:autoSpaceDN w:val="0"/>
        <w:spacing w:before="72" w:line="211" w:lineRule="exact"/>
        <w:ind w:left="68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99.43</w:t>
      </w:r>
    </w:p>
    <w:p>
      <w:pPr>
        <w:framePr w:w="1450" w:x="5583" w:y="1829"/>
        <w:widowControl w:val="0"/>
        <w:autoSpaceDE w:val="0"/>
        <w:autoSpaceDN w:val="0"/>
        <w:spacing w:before="72" w:line="211" w:lineRule="exact"/>
        <w:ind w:left="78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0.10</w:t>
      </w:r>
    </w:p>
    <w:p>
      <w:pPr>
        <w:framePr w:w="662" w:x="7650"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457" w:x="9412"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1457" w:x="9412" w:y="1829"/>
        <w:widowControl w:val="0"/>
        <w:autoSpaceDE w:val="0"/>
        <w:autoSpaceDN w:val="0"/>
        <w:spacing w:before="72" w:line="211" w:lineRule="exact"/>
        <w:ind w:left="68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94.96</w:t>
      </w:r>
    </w:p>
    <w:p>
      <w:pPr>
        <w:framePr w:w="1030" w:x="1798"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1798" w:y="211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030" w:x="1798" w:y="211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030" w:x="1798" w:y="211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年以上</w:t>
      </w:r>
    </w:p>
    <w:p>
      <w:pPr>
        <w:framePr w:w="1030" w:x="1798" w:y="2112"/>
        <w:widowControl w:val="0"/>
        <w:autoSpaceDE w:val="0"/>
        <w:autoSpaceDN w:val="0"/>
        <w:spacing w:before="70" w:line="211" w:lineRule="exact"/>
        <w:ind w:left="36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3516"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52,846,451.39</w:t>
      </w:r>
    </w:p>
    <w:p>
      <w:pPr>
        <w:framePr w:w="1613" w:x="3516" w:y="2112"/>
        <w:widowControl w:val="0"/>
        <w:autoSpaceDE w:val="0"/>
        <w:autoSpaceDN w:val="0"/>
        <w:spacing w:before="72" w:line="211" w:lineRule="exact"/>
        <w:ind w:left="42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52,926.25</w:t>
      </w:r>
    </w:p>
    <w:p>
      <w:pPr>
        <w:framePr w:w="1613" w:x="7341"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13,927,061.21</w:t>
      </w:r>
    </w:p>
    <w:p>
      <w:pPr>
        <w:framePr w:w="1613" w:x="7341" w:y="2112"/>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460,290.00</w:t>
      </w:r>
    </w:p>
    <w:p>
      <w:pPr>
        <w:framePr w:w="662" w:x="10207"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3.14</w:t>
      </w:r>
    </w:p>
    <w:p>
      <w:pPr>
        <w:framePr w:w="1296" w:x="3831"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251,463.67</w:t>
      </w:r>
    </w:p>
    <w:p>
      <w:pPr>
        <w:framePr w:w="662" w:x="6371"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0.47</w:t>
      </w:r>
    </w:p>
    <w:p>
      <w:pPr>
        <w:framePr w:w="1296" w:x="7655"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278,502.71</w:t>
      </w:r>
    </w:p>
    <w:p>
      <w:pPr>
        <w:framePr w:w="662" w:x="10207"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1.90</w:t>
      </w:r>
    </w:p>
    <w:p>
      <w:pPr>
        <w:framePr w:w="1613" w:x="3512"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53,150,841.31</w:t>
      </w:r>
    </w:p>
    <w:p>
      <w:pPr>
        <w:framePr w:w="874" w:x="6159"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1613" w:x="7336"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14,665,853.92</w:t>
      </w:r>
    </w:p>
    <w:p>
      <w:pPr>
        <w:framePr w:w="874" w:x="9996"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5917" w:x="1798" w:y="36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账龄超过</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年且金额重要的预付款项未及时结算原因的说明：</w:t>
      </w:r>
    </w:p>
    <w:p>
      <w:pPr>
        <w:framePr w:w="451" w:x="1798" w:y="41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5098" w:x="1798" w:y="47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按预付对象归集的期末余额前五名的预付款情况</w:t>
      </w:r>
    </w:p>
    <w:p>
      <w:pPr>
        <w:framePr w:w="1922" w:x="1798" w:y="5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7" w:x="6188" w:y="58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占预付款项总</w:t>
      </w:r>
    </w:p>
    <w:p>
      <w:pPr>
        <w:framePr w:w="1085" w:x="2600" w:y="59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085" w:x="4779" w:y="59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96" w:x="7710" w:y="59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预付款时间</w:t>
      </w:r>
    </w:p>
    <w:p>
      <w:pPr>
        <w:framePr w:w="1296" w:x="9283" w:y="59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未结算原因</w:t>
      </w:r>
    </w:p>
    <w:p>
      <w:pPr>
        <w:framePr w:w="1402" w:x="6241" w:y="60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额的比例</w:t>
      </w:r>
      <w:r>
        <w:rPr>
          <w:rFonts w:ascii="SimSun" w:eastAsiaTheme="minorEastAsia" w:hAnsiTheme="minorHAnsi" w:cstheme="minorBidi"/>
          <w:color w:val="000000"/>
          <w:spacing w:val="-1"/>
          <w:sz w:val="21"/>
          <w:szCs w:val="22"/>
          <w:lang w:val="en-US" w:eastAsia="en-US" w:bidi="ar-SA"/>
        </w:rPr>
        <w:t>(%)</w:t>
      </w:r>
    </w:p>
    <w:p>
      <w:pPr>
        <w:framePr w:w="874" w:x="2703"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单位一</w:t>
      </w:r>
    </w:p>
    <w:p>
      <w:pPr>
        <w:framePr w:w="874" w:x="2703"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单位二</w:t>
      </w:r>
    </w:p>
    <w:p>
      <w:pPr>
        <w:framePr w:w="874" w:x="2703"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单位三</w:t>
      </w:r>
    </w:p>
    <w:p>
      <w:pPr>
        <w:framePr w:w="874" w:x="2703"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单位四</w:t>
      </w:r>
    </w:p>
    <w:p>
      <w:pPr>
        <w:framePr w:w="874" w:x="2703"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单位五</w:t>
      </w:r>
    </w:p>
    <w:p>
      <w:pPr>
        <w:framePr w:w="874" w:x="2703" w:y="6392"/>
        <w:widowControl w:val="0"/>
        <w:autoSpaceDE w:val="0"/>
        <w:autoSpaceDN w:val="0"/>
        <w:spacing w:before="139"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4518" w:y="6392"/>
        <w:widowControl w:val="0"/>
        <w:autoSpaceDE w:val="0"/>
        <w:autoSpaceDN w:val="0"/>
        <w:spacing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7,640,596.33</w:t>
      </w:r>
    </w:p>
    <w:p>
      <w:pPr>
        <w:framePr w:w="1613" w:x="4518" w:y="6392"/>
        <w:widowControl w:val="0"/>
        <w:autoSpaceDE w:val="0"/>
        <w:autoSpaceDN w:val="0"/>
        <w:spacing w:before="139"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6,372,000.00</w:t>
      </w:r>
    </w:p>
    <w:p>
      <w:pPr>
        <w:framePr w:w="1613" w:x="4518" w:y="6392"/>
        <w:widowControl w:val="0"/>
        <w:autoSpaceDE w:val="0"/>
        <w:autoSpaceDN w:val="0"/>
        <w:spacing w:before="139"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5,741,921.85</w:t>
      </w:r>
    </w:p>
    <w:p>
      <w:pPr>
        <w:framePr w:w="1613" w:x="4518" w:y="6392"/>
        <w:widowControl w:val="0"/>
        <w:autoSpaceDE w:val="0"/>
        <w:autoSpaceDN w:val="0"/>
        <w:spacing w:before="139"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2,910,000.00</w:t>
      </w:r>
    </w:p>
    <w:p>
      <w:pPr>
        <w:framePr w:w="1613" w:x="4518" w:y="6392"/>
        <w:widowControl w:val="0"/>
        <w:autoSpaceDE w:val="0"/>
        <w:autoSpaceDN w:val="0"/>
        <w:spacing w:before="139"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2,646,000.00</w:t>
      </w:r>
    </w:p>
    <w:p>
      <w:pPr>
        <w:framePr w:w="1613" w:x="4518" w:y="6392"/>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25,310,518.18</w:t>
      </w:r>
    </w:p>
    <w:p>
      <w:pPr>
        <w:framePr w:w="768" w:x="6556" w:y="639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14.38</w:t>
      </w:r>
    </w:p>
    <w:p>
      <w:pPr>
        <w:framePr w:w="1030" w:x="7842"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7842"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7842"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7842"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7842"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718" w:x="9072"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1718" w:x="9072"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1718" w:x="9072"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1718" w:x="9072"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1718" w:x="9072" w:y="6392"/>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768" w:x="6556" w:y="67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11.99</w:t>
      </w:r>
    </w:p>
    <w:p>
      <w:pPr>
        <w:framePr w:w="768" w:x="6556" w:y="6742"/>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10.80</w:t>
      </w:r>
    </w:p>
    <w:p>
      <w:pPr>
        <w:framePr w:w="768" w:x="6556" w:y="6742"/>
        <w:widowControl w:val="0"/>
        <w:autoSpaceDE w:val="0"/>
        <w:autoSpaceDN w:val="0"/>
        <w:spacing w:before="139"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5.47</w:t>
      </w:r>
    </w:p>
    <w:p>
      <w:pPr>
        <w:framePr w:w="662" w:x="6609" w:y="77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4.98</w:t>
      </w:r>
    </w:p>
    <w:p>
      <w:pPr>
        <w:framePr w:w="768" w:x="6556" w:y="81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47.62</w:t>
      </w:r>
    </w:p>
    <w:p>
      <w:pPr>
        <w:framePr w:w="1085" w:x="1798" w:y="88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922" w:x="1798" w:y="93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2" w:x="1798" w:y="9399"/>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其他应收款</w:t>
      </w:r>
    </w:p>
    <w:p>
      <w:pPr>
        <w:framePr w:w="1922" w:x="1798" w:y="939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109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513"/>
        <w:widowControl w:val="0"/>
        <w:autoSpaceDE w:val="0"/>
        <w:autoSpaceDN w:val="0"/>
        <w:spacing w:before="72" w:line="211" w:lineRule="exact"/>
        <w:ind w:left="54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937" w:x="1798" w:y="11797"/>
        <w:widowControl w:val="0"/>
        <w:autoSpaceDE w:val="0"/>
        <w:autoSpaceDN w:val="0"/>
        <w:spacing w:line="211" w:lineRule="exact"/>
        <w:ind w:left="12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37" w:x="1798" w:y="1179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应收利息</w:t>
      </w:r>
    </w:p>
    <w:p>
      <w:pPr>
        <w:framePr w:w="1085" w:x="5929" w:y="117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1798" w:y="123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1296" w:x="1798" w:y="126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296" w:x="1798" w:y="1264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335" w:y="126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14,525,828.66</w:t>
      </w:r>
    </w:p>
    <w:p>
      <w:pPr>
        <w:framePr w:w="1613" w:x="6335" w:y="1264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14,525,828.66</w:t>
      </w:r>
    </w:p>
    <w:p>
      <w:pPr>
        <w:framePr w:w="1507" w:x="9367" w:y="126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507" w:x="9367" w:y="1264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296" w:x="1798" w:y="136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41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11" type="#_x0000_t75" style="width:445.6pt;height:2.7pt;margin-top:53.65pt;margin-left:87.45pt;mso-position-horizontal-relative:page;mso-position-vertical-relative:page;position:absolute;z-index:-251209728">
            <v:imagedata r:id="rId228" o:title=""/>
          </v:shape>
        </w:pict>
      </w:r>
      <w:r>
        <w:rPr>
          <w:noProof/>
        </w:rPr>
        <w:pict>
          <v:shape id="_x0000_s1312" type="#_x0000_t75" style="width:455.55pt;height:101.4pt;margin-top:74.3pt;margin-left:83pt;mso-position-horizontal-relative:page;mso-position-vertical-relative:page;position:absolute;z-index:-251274240">
            <v:imagedata r:id="rId229" o:title=""/>
          </v:shape>
        </w:pict>
      </w:r>
      <w:r>
        <w:rPr>
          <w:noProof/>
        </w:rPr>
        <w:pict>
          <v:shape id="_x0000_s1313" type="#_x0000_t75" style="width:454.7pt;height:137.25pt;margin-top:286.25pt;margin-left:82.8pt;mso-position-horizontal-relative:page;mso-position-vertical-relative:page;position:absolute;z-index:-251377664">
            <v:imagedata r:id="rId230" o:title=""/>
          </v:shape>
        </w:pict>
      </w:r>
      <w:r>
        <w:rPr>
          <w:noProof/>
        </w:rPr>
        <w:pict>
          <v:shape id="_x0000_s1314" type="#_x0000_t75" style="width:455.55pt;height:73.05pt;margin-top:586.85pt;margin-left:83pt;mso-position-horizontal-relative:page;mso-position-vertical-relative:page;position:absolute;z-index:-251521024">
            <v:imagedata r:id="rId231" o:title=""/>
          </v:shape>
        </w:pict>
      </w:r>
    </w:p>
    <w:p>
      <w:pPr>
        <w:spacing w:line="0" w:lineRule="atLeast"/>
        <w:rPr>
          <w:rFonts w:ascii="Arial" w:eastAsiaTheme="minorEastAsia" w:hAnsiTheme="minorHAnsi" w:cstheme="minorBidi"/>
          <w:color w:val="FF0000"/>
          <w:sz w:val="2"/>
          <w:szCs w:val="22"/>
          <w:lang w:val="en-US" w:eastAsia="en-US" w:bidi="ar-SA"/>
        </w:rPr>
      </w:pPr>
      <w:bookmarkStart w:id="135" w:name="br1_134"/>
      <w:bookmarkEnd w:id="13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应收利息</w:t>
      </w:r>
    </w:p>
    <w:p>
      <w:pPr>
        <w:framePr w:w="235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应收利息分类</w:t>
      </w:r>
    </w:p>
    <w:p>
      <w:pPr>
        <w:framePr w:w="2357"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重要逾期利息</w:t>
      </w:r>
    </w:p>
    <w:p>
      <w:pPr>
        <w:framePr w:w="2357"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坏账准备计提情况</w:t>
      </w:r>
    </w:p>
    <w:p>
      <w:pPr>
        <w:framePr w:w="2357" w:x="1798" w:y="2066"/>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922"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2"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应收股利</w:t>
      </w:r>
    </w:p>
    <w:p>
      <w:pPr>
        <w:framePr w:w="1512" w:x="1798" w:y="6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应收股利</w:t>
      </w:r>
    </w:p>
    <w:p>
      <w:pPr>
        <w:framePr w:w="3622" w:x="1798" w:y="7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22"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重要的账龄超过</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pacing w:val="1"/>
          <w:sz w:val="21"/>
          <w:szCs w:val="22"/>
          <w:lang w:val="en-US" w:eastAsia="en-US" w:bidi="ar-SA"/>
        </w:rPr>
        <w:t>年的应收股利</w:t>
      </w:r>
    </w:p>
    <w:p>
      <w:pPr>
        <w:framePr w:w="3622"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22"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坏账准备计提情况</w:t>
      </w:r>
    </w:p>
    <w:p>
      <w:pPr>
        <w:framePr w:w="3622" w:x="1798" w:y="735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22"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05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05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817" w:x="1798" w:y="11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按账龄披露</w:t>
      </w:r>
    </w:p>
    <w:p>
      <w:pPr>
        <w:framePr w:w="1817" w:x="1798" w:y="1157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96" w:x="7878" w:y="12637"/>
        <w:widowControl w:val="0"/>
        <w:autoSpaceDE w:val="0"/>
        <w:autoSpaceDN w:val="0"/>
        <w:spacing w:line="211" w:lineRule="exact"/>
        <w:ind w:left="44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996" w:x="7878" w:y="1263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2633" w:x="1798" w:y="12920"/>
        <w:widowControl w:val="0"/>
        <w:autoSpaceDE w:val="0"/>
        <w:autoSpaceDN w:val="0"/>
        <w:spacing w:line="211" w:lineRule="exact"/>
        <w:ind w:left="197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2633" w:x="1798" w:y="1292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081" w:x="1798" w:y="134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年以内分项</w:t>
      </w:r>
    </w:p>
    <w:p>
      <w:pPr>
        <w:framePr w:w="2081" w:x="1798" w:y="1348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年以内小计</w:t>
      </w:r>
    </w:p>
    <w:p>
      <w:pPr>
        <w:framePr w:w="2081" w:x="1798" w:y="1348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613" w:x="9266" w:y="137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15,190,601.73</w:t>
      </w:r>
    </w:p>
    <w:p>
      <w:pPr>
        <w:framePr w:w="1613" w:x="9266" w:y="13768"/>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118,179.26</w:t>
      </w:r>
    </w:p>
    <w:p>
      <w:pPr>
        <w:framePr w:w="1613" w:x="9266" w:y="13768"/>
        <w:widowControl w:val="0"/>
        <w:autoSpaceDE w:val="0"/>
        <w:autoSpaceDN w:val="0"/>
        <w:spacing w:before="72" w:line="211" w:lineRule="exact"/>
        <w:ind w:left="73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356.00</w:t>
      </w:r>
    </w:p>
    <w:p>
      <w:pPr>
        <w:framePr w:w="1030" w:x="1798" w:y="143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030" w:x="1798" w:y="146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年</w:t>
      </w:r>
    </w:p>
    <w:p>
      <w:pPr>
        <w:framePr w:w="1030" w:x="1798" w:y="148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年</w:t>
      </w:r>
    </w:p>
    <w:p>
      <w:pPr>
        <w:framePr w:w="1190" w:x="9686" w:y="148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15" type="#_x0000_t75" style="width:445.6pt;height:2.7pt;margin-top:53.65pt;margin-left:87.45pt;mso-position-horizontal-relative:page;mso-position-vertical-relative:page;position:absolute;z-index:-251376640">
            <v:imagedata r:id="rId232" o:title=""/>
          </v:shape>
        </w:pict>
      </w:r>
      <w:r>
        <w:rPr>
          <w:noProof/>
        </w:rPr>
        <w:pict>
          <v:shape id="_x0000_s1316" type="#_x0000_t75" style="width:455.55pt;height:115.5pt;margin-top:642.95pt;margin-left:83pt;mso-position-horizontal-relative:page;mso-position-vertical-relative:page;position:absolute;z-index:-251520000">
            <v:imagedata r:id="rId233" o:title=""/>
          </v:shape>
        </w:pict>
      </w:r>
    </w:p>
    <w:p>
      <w:pPr>
        <w:spacing w:line="0" w:lineRule="atLeast"/>
        <w:rPr>
          <w:rFonts w:ascii="Arial" w:eastAsiaTheme="minorEastAsia" w:hAnsiTheme="minorHAnsi" w:cstheme="minorBidi"/>
          <w:color w:val="FF0000"/>
          <w:sz w:val="2"/>
          <w:szCs w:val="22"/>
          <w:lang w:val="en-US" w:eastAsia="en-US" w:bidi="ar-SA"/>
        </w:rPr>
      </w:pPr>
      <w:bookmarkStart w:id="136" w:name="br1_135"/>
      <w:bookmarkEnd w:id="13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30"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年以上</w:t>
      </w:r>
    </w:p>
    <w:p>
      <w:pPr>
        <w:framePr w:w="1190" w:x="968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45,500.00</w:t>
      </w:r>
    </w:p>
    <w:p>
      <w:pPr>
        <w:framePr w:w="662" w:x="3768"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9266"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15,364,636.99</w:t>
      </w:r>
    </w:p>
    <w:p>
      <w:pPr>
        <w:framePr w:w="2568" w:x="1798" w:y="22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按款项性质分类情况</w:t>
      </w:r>
    </w:p>
    <w:p>
      <w:pPr>
        <w:framePr w:w="1817" w:x="1798" w:y="27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4" w:x="8310" w:y="3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64" w:x="8310" w:y="3288"/>
        <w:widowControl w:val="0"/>
        <w:autoSpaceDE w:val="0"/>
        <w:autoSpaceDN w:val="0"/>
        <w:spacing w:before="72" w:line="211" w:lineRule="exact"/>
        <w:ind w:left="30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期初账面余额</w:t>
      </w:r>
    </w:p>
    <w:p>
      <w:pPr>
        <w:framePr w:w="2564" w:x="8310" w:y="3288"/>
        <w:widowControl w:val="0"/>
        <w:autoSpaceDE w:val="0"/>
        <w:autoSpaceDN w:val="0"/>
        <w:spacing w:before="72" w:line="211" w:lineRule="exact"/>
        <w:ind w:left="127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236,122.00</w:t>
      </w:r>
    </w:p>
    <w:p>
      <w:pPr>
        <w:framePr w:w="2093" w:x="1798" w:y="3571"/>
        <w:widowControl w:val="0"/>
        <w:autoSpaceDE w:val="0"/>
        <w:autoSpaceDN w:val="0"/>
        <w:spacing w:line="211" w:lineRule="exact"/>
        <w:ind w:left="101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款项性质</w:t>
      </w:r>
    </w:p>
    <w:p>
      <w:pPr>
        <w:framePr w:w="2093" w:x="1798" w:y="357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保证金、押金</w:t>
      </w:r>
    </w:p>
    <w:p>
      <w:pPr>
        <w:framePr w:w="2093" w:x="1798" w:y="357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备用金</w:t>
      </w:r>
    </w:p>
    <w:p>
      <w:pPr>
        <w:framePr w:w="1507" w:x="5624" w:y="35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1190" w:x="6693" w:y="38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36,900.00</w:t>
      </w:r>
    </w:p>
    <w:p>
      <w:pPr>
        <w:framePr w:w="1296" w:x="6587" w:y="4135"/>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3,000.00</w:t>
      </w:r>
    </w:p>
    <w:p>
      <w:pPr>
        <w:framePr w:w="1296" w:x="6587" w:y="413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156,273.41</w:t>
      </w:r>
    </w:p>
    <w:p>
      <w:pPr>
        <w:framePr w:w="1190" w:x="9686" w:y="41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17,538.85</w:t>
      </w:r>
    </w:p>
    <w:p>
      <w:pPr>
        <w:framePr w:w="874" w:x="1798" w:y="44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暂借款</w:t>
      </w:r>
    </w:p>
    <w:p>
      <w:pPr>
        <w:framePr w:w="1190" w:x="9686" w:y="44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85,534.60</w:t>
      </w:r>
    </w:p>
    <w:p>
      <w:pPr>
        <w:framePr w:w="874" w:x="1798" w:y="47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296" w:x="6587" w:y="47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708,988.55</w:t>
      </w:r>
    </w:p>
    <w:p>
      <w:pPr>
        <w:framePr w:w="1296" w:x="9580" w:y="47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360,662.29</w:t>
      </w:r>
    </w:p>
    <w:p>
      <w:pPr>
        <w:framePr w:w="1882" w:x="1798" w:y="49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应收出口退税款</w:t>
      </w:r>
    </w:p>
    <w:p>
      <w:pPr>
        <w:framePr w:w="1882" w:x="1798" w:y="4982"/>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保险理赔款</w:t>
      </w:r>
    </w:p>
    <w:p>
      <w:pPr>
        <w:framePr w:w="1882" w:x="1798" w:y="4982"/>
        <w:widowControl w:val="0"/>
        <w:autoSpaceDE w:val="0"/>
        <w:autoSpaceDN w:val="0"/>
        <w:spacing w:before="70" w:line="211" w:lineRule="exact"/>
        <w:ind w:left="121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272" w:y="4982"/>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2,493,992.58</w:t>
      </w:r>
    </w:p>
    <w:p>
      <w:pPr>
        <w:framePr w:w="1613" w:x="6272" w:y="4982"/>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11,965,482.45</w:t>
      </w:r>
    </w:p>
    <w:p>
      <w:pPr>
        <w:framePr w:w="1613" w:x="6272" w:y="498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15,364,636.99</w:t>
      </w:r>
    </w:p>
    <w:p>
      <w:pPr>
        <w:framePr w:w="1507" w:x="9372" w:y="49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1,694,319.46</w:t>
      </w:r>
    </w:p>
    <w:p>
      <w:pPr>
        <w:framePr w:w="1507" w:x="9372" w:y="5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2,394,177.20</w:t>
      </w:r>
    </w:p>
    <w:p>
      <w:pPr>
        <w:framePr w:w="2357" w:x="1798" w:y="59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坏账准备计提情况</w:t>
      </w:r>
    </w:p>
    <w:p>
      <w:pPr>
        <w:framePr w:w="1817" w:x="1798" w:y="64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7" w:y="70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85" w:x="4213" w:y="72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第一阶段</w:t>
      </w:r>
    </w:p>
    <w:p>
      <w:pPr>
        <w:framePr w:w="1085" w:x="6056" w:y="72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第二阶段</w:t>
      </w:r>
    </w:p>
    <w:p>
      <w:pPr>
        <w:framePr w:w="1085" w:x="7969" w:y="72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第三阶段</w:t>
      </w:r>
    </w:p>
    <w:p>
      <w:pPr>
        <w:framePr w:w="1930" w:x="5636" w:y="75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整个存续期预期信</w:t>
      </w:r>
    </w:p>
    <w:p>
      <w:pPr>
        <w:framePr w:w="1930" w:x="5636" w:y="7572"/>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用损失</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未发生信</w:t>
      </w:r>
    </w:p>
    <w:p>
      <w:pPr>
        <w:framePr w:w="1930" w:x="5636" w:y="7572"/>
        <w:widowControl w:val="0"/>
        <w:autoSpaceDE w:val="0"/>
        <w:autoSpaceDN w:val="0"/>
        <w:spacing w:before="62" w:line="211" w:lineRule="exact"/>
        <w:ind w:left="473"/>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用减值</w:t>
      </w:r>
      <w:r>
        <w:rPr>
          <w:rFonts w:ascii="SimSun" w:eastAsiaTheme="minorEastAsia" w:hAnsiTheme="minorHAnsi" w:cstheme="minorBidi"/>
          <w:color w:val="000000"/>
          <w:sz w:val="21"/>
          <w:szCs w:val="22"/>
          <w:lang w:val="en-US" w:eastAsia="en-US" w:bidi="ar-SA"/>
        </w:rPr>
        <w:t>)</w:t>
      </w:r>
    </w:p>
    <w:p>
      <w:pPr>
        <w:framePr w:w="1824" w:x="7602" w:y="7572"/>
        <w:widowControl w:val="0"/>
        <w:autoSpaceDE w:val="0"/>
        <w:autoSpaceDN w:val="0"/>
        <w:spacing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整个存续期预期</w:t>
      </w:r>
    </w:p>
    <w:p>
      <w:pPr>
        <w:framePr w:w="1824" w:x="7602" w:y="757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信用损失</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已发生</w:t>
      </w:r>
    </w:p>
    <w:p>
      <w:pPr>
        <w:framePr w:w="1824" w:x="7602" w:y="7572"/>
        <w:widowControl w:val="0"/>
        <w:autoSpaceDE w:val="0"/>
        <w:autoSpaceDN w:val="0"/>
        <w:spacing w:before="62" w:line="211" w:lineRule="exact"/>
        <w:ind w:left="314"/>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信用减值</w:t>
      </w:r>
      <w:r>
        <w:rPr>
          <w:rFonts w:ascii="SimSun" w:eastAsiaTheme="minorEastAsia" w:hAnsiTheme="minorHAnsi" w:cstheme="minorBidi"/>
          <w:color w:val="000000"/>
          <w:sz w:val="21"/>
          <w:szCs w:val="22"/>
          <w:lang w:val="en-US" w:eastAsia="en-US" w:bidi="ar-SA"/>
        </w:rPr>
        <w:t>)</w:t>
      </w:r>
    </w:p>
    <w:p>
      <w:pPr>
        <w:framePr w:w="1085" w:x="2084" w:y="7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718" w:x="3899" w:y="7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未来</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个月预期</w:t>
      </w:r>
    </w:p>
    <w:p>
      <w:pPr>
        <w:framePr w:w="662" w:x="9952" w:y="7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4213" w:y="79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信用损失</w:t>
      </w:r>
    </w:p>
    <w:p>
      <w:pPr>
        <w:framePr w:w="2563" w:x="1337" w:y="83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月</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z w:val="21"/>
          <w:szCs w:val="22"/>
          <w:lang w:val="en-US" w:eastAsia="en-US" w:bidi="ar-SA"/>
        </w:rPr>
        <w:t>日余额</w:t>
      </w:r>
    </w:p>
    <w:p>
      <w:pPr>
        <w:framePr w:w="2563" w:x="1337" w:y="839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月</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z w:val="21"/>
          <w:szCs w:val="22"/>
          <w:lang w:val="en-US" w:eastAsia="en-US" w:bidi="ar-SA"/>
        </w:rPr>
        <w:t>日余额在本期</w:t>
      </w:r>
    </w:p>
    <w:p>
      <w:pPr>
        <w:framePr w:w="2563" w:x="1337" w:y="839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转入第二阶段</w:t>
      </w:r>
    </w:p>
    <w:p>
      <w:pPr>
        <w:framePr w:w="2563" w:x="1337" w:y="839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转入第三阶段</w:t>
      </w:r>
    </w:p>
    <w:p>
      <w:pPr>
        <w:framePr w:w="2563" w:x="1337" w:y="839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转回第二阶段</w:t>
      </w:r>
    </w:p>
    <w:p>
      <w:pPr>
        <w:framePr w:w="2563" w:x="1337" w:y="839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转回第一阶段</w:t>
      </w:r>
    </w:p>
    <w:p>
      <w:pPr>
        <w:framePr w:w="2563" w:x="1337" w:y="839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本期计提</w:t>
      </w:r>
    </w:p>
    <w:p>
      <w:pPr>
        <w:framePr w:w="1296" w:x="4326" w:y="83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191,875.13</w:t>
      </w:r>
    </w:p>
    <w:p>
      <w:pPr>
        <w:framePr w:w="1296" w:x="9854" w:y="83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191,875.13</w:t>
      </w:r>
    </w:p>
    <w:p>
      <w:pPr>
        <w:framePr w:w="1296" w:x="4326" w:y="100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646,933.20</w:t>
      </w:r>
    </w:p>
    <w:p>
      <w:pPr>
        <w:framePr w:w="1296" w:x="4326" w:y="10093"/>
        <w:widowControl w:val="0"/>
        <w:autoSpaceDE w:val="0"/>
        <w:autoSpaceDN w:val="0"/>
        <w:spacing w:before="120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838,808.33</w:t>
      </w:r>
    </w:p>
    <w:p>
      <w:pPr>
        <w:framePr w:w="1296" w:x="9854" w:y="100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646,933.20</w:t>
      </w:r>
    </w:p>
    <w:p>
      <w:pPr>
        <w:framePr w:w="1296" w:x="9854" w:y="10093"/>
        <w:widowControl w:val="0"/>
        <w:autoSpaceDE w:val="0"/>
        <w:autoSpaceDN w:val="0"/>
        <w:spacing w:before="120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838,808.33</w:t>
      </w:r>
    </w:p>
    <w:p>
      <w:pPr>
        <w:framePr w:w="1085" w:x="1337" w:y="10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本期转回</w:t>
      </w:r>
    </w:p>
    <w:p>
      <w:pPr>
        <w:framePr w:w="1085" w:x="1337" w:y="106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本期转销</w:t>
      </w:r>
    </w:p>
    <w:p>
      <w:pPr>
        <w:framePr w:w="1085" w:x="1337" w:y="109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本期核销</w:t>
      </w:r>
    </w:p>
    <w:p>
      <w:pPr>
        <w:framePr w:w="1085" w:x="1337" w:y="11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其他变动</w:t>
      </w:r>
    </w:p>
    <w:p>
      <w:pPr>
        <w:framePr w:w="2141" w:x="1337" w:y="11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pacing w:val="-1"/>
          <w:sz w:val="21"/>
          <w:szCs w:val="22"/>
          <w:lang w:val="en-US" w:eastAsia="en-US" w:bidi="ar-SA"/>
        </w:rPr>
        <w:t>月</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日余额</w:t>
      </w:r>
    </w:p>
    <w:p>
      <w:pPr>
        <w:framePr w:w="6787" w:x="1798" w:y="119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对本期发生损失准备变动的其他应收款账面余额显著变动的情况说明：</w:t>
      </w:r>
    </w:p>
    <w:p>
      <w:pPr>
        <w:framePr w:w="1817" w:x="1798" w:y="124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632" w:x="1798" w:y="129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本期坏账准备计提金额以及评估金融工具的信用风险是否显著增加的采用依据：</w:t>
      </w:r>
    </w:p>
    <w:p>
      <w:pPr>
        <w:framePr w:w="2146" w:x="1798" w:y="134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6" w:x="1798" w:y="134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坏账准备的情况</w:t>
      </w:r>
    </w:p>
    <w:p>
      <w:pPr>
        <w:framePr w:w="2146" w:x="1798" w:y="134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50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17" type="#_x0000_t75" style="width:445.6pt;height:2.7pt;margin-top:53.65pt;margin-left:87.45pt;mso-position-horizontal-relative:page;mso-position-vertical-relative:page;position:absolute;z-index:-251208704">
            <v:imagedata r:id="rId234" o:title=""/>
          </v:shape>
        </w:pict>
      </w:r>
      <w:r>
        <w:rPr>
          <w:noProof/>
        </w:rPr>
        <w:pict>
          <v:shape id="_x0000_s1318" type="#_x0000_t75" style="width:455.55pt;height:30.8pt;margin-top:74.3pt;margin-left:83pt;mso-position-horizontal-relative:page;mso-position-vertical-relative:page;position:absolute;z-index:-251273216">
            <v:imagedata r:id="rId235" o:title=""/>
          </v:shape>
        </w:pict>
      </w:r>
      <w:r>
        <w:rPr>
          <w:noProof/>
        </w:rPr>
        <w:pict>
          <v:shape id="_x0000_s1319" type="#_x0000_t75" style="width:454.95pt;height:115.45pt;margin-top:175.6pt;margin-left:83.25pt;mso-position-horizontal-relative:page;mso-position-vertical-relative:page;position:absolute;z-index:-251375616">
            <v:imagedata r:id="rId236" o:title=""/>
          </v:shape>
        </w:pict>
      </w:r>
      <w:r>
        <w:rPr>
          <w:noProof/>
        </w:rPr>
        <w:pict>
          <v:shape id="_x0000_s1320" type="#_x0000_t75" style="width:491.6pt;height:227.4pt;margin-top:361.5pt;margin-left:60.3pt;mso-position-horizontal-relative:page;mso-position-vertical-relative:page;position:absolute;z-index:-251518976">
            <v:imagedata r:id="rId237" o:title=""/>
          </v:shape>
        </w:pict>
      </w:r>
    </w:p>
    <w:p>
      <w:pPr>
        <w:spacing w:line="0" w:lineRule="atLeast"/>
        <w:rPr>
          <w:rFonts w:ascii="Arial" w:eastAsiaTheme="minorEastAsia" w:hAnsiTheme="minorHAnsi" w:cstheme="minorBidi"/>
          <w:color w:val="FF0000"/>
          <w:sz w:val="2"/>
          <w:szCs w:val="22"/>
          <w:lang w:val="en-US" w:eastAsia="en-US" w:bidi="ar-SA"/>
        </w:rPr>
      </w:pPr>
      <w:bookmarkStart w:id="137" w:name="br1_136"/>
      <w:bookmarkEnd w:id="13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07" w:x="6347"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本期变动金额</w:t>
      </w:r>
    </w:p>
    <w:p>
      <w:pPr>
        <w:framePr w:w="662" w:x="2240" w:y="18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3430" w:y="18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999"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收回或转</w:t>
      </w:r>
    </w:p>
    <w:p>
      <w:pPr>
        <w:framePr w:w="1085" w:x="5999" w:y="1829"/>
        <w:widowControl w:val="0"/>
        <w:autoSpaceDE w:val="0"/>
        <w:autoSpaceDN w:val="0"/>
        <w:spacing w:before="62" w:line="211" w:lineRule="exact"/>
        <w:ind w:left="31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回</w:t>
      </w:r>
    </w:p>
    <w:p>
      <w:pPr>
        <w:framePr w:w="1085" w:x="7218"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转销或核</w:t>
      </w:r>
    </w:p>
    <w:p>
      <w:pPr>
        <w:framePr w:w="1085" w:x="7218" w:y="1829"/>
        <w:widowControl w:val="0"/>
        <w:autoSpaceDE w:val="0"/>
        <w:autoSpaceDN w:val="0"/>
        <w:spacing w:before="62" w:line="211" w:lineRule="exact"/>
        <w:ind w:left="31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w:t>
      </w:r>
    </w:p>
    <w:p>
      <w:pPr>
        <w:framePr w:w="1296" w:x="9583" w:y="1824"/>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96" w:x="9583" w:y="1824"/>
        <w:widowControl w:val="0"/>
        <w:autoSpaceDE w:val="0"/>
        <w:autoSpaceDN w:val="0"/>
        <w:spacing w:before="34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838,808.33</w:t>
      </w:r>
    </w:p>
    <w:p>
      <w:pPr>
        <w:framePr w:w="1296" w:x="9583" w:y="1824"/>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838,808.33</w:t>
      </w:r>
    </w:p>
    <w:p>
      <w:pPr>
        <w:framePr w:w="662" w:x="4940" w:y="1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1085" w:x="8514" w:y="1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其他变动</w:t>
      </w:r>
    </w:p>
    <w:p>
      <w:pPr>
        <w:framePr w:w="4143" w:x="1798" w:y="2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其他应收款坏</w:t>
      </w:r>
      <w:r>
        <w:rPr>
          <w:rFonts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191,875.13</w:t>
      </w:r>
      <w:r>
        <w:rPr>
          <w:rFonts w:ascii="SimSun" w:eastAsiaTheme="minorEastAsia" w:hAnsiTheme="minorHAnsi" w:cstheme="minorBidi"/>
          <w:color w:val="000000"/>
          <w:spacing w:val="1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646,933.20</w:t>
      </w:r>
    </w:p>
    <w:p>
      <w:pPr>
        <w:framePr w:w="874" w:x="1798" w:y="26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账准备</w:t>
      </w:r>
    </w:p>
    <w:p>
      <w:pPr>
        <w:framePr w:w="662" w:x="2240" w:y="2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617" w:x="3324" w:y="29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191,875.13</w:t>
      </w:r>
      <w:r>
        <w:rPr>
          <w:rFonts w:ascii="SimSun" w:eastAsiaTheme="minorEastAsia" w:hAnsiTheme="minorHAnsi" w:cstheme="minorBidi"/>
          <w:color w:val="000000"/>
          <w:spacing w:val="1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646,933.20</w:t>
      </w:r>
    </w:p>
    <w:p>
      <w:pPr>
        <w:framePr w:w="4253" w:x="1798" w:y="33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其中本期坏账准备转回或收回金额重要的：</w:t>
      </w:r>
    </w:p>
    <w:p>
      <w:pPr>
        <w:framePr w:w="4253" w:x="1798" w:y="334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43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(5).</w:t>
      </w:r>
      <w:r>
        <w:rPr>
          <w:rFonts w:ascii="SimSun" w:hAnsi="SimSun" w:eastAsiaTheme="minorEastAsia" w:cs="SimSun"/>
          <w:color w:val="000000"/>
          <w:spacing w:val="1"/>
          <w:sz w:val="21"/>
          <w:szCs w:val="22"/>
          <w:lang w:val="en-US" w:eastAsia="en-US" w:bidi="ar-SA"/>
        </w:rPr>
        <w:t>本期实际核销的其他应收款情况</w:t>
      </w:r>
    </w:p>
    <w:p>
      <w:pPr>
        <w:framePr w:w="3619" w:x="1798" w:y="439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09" w:x="1798" w:y="5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(6).</w:t>
      </w:r>
      <w:r>
        <w:rPr>
          <w:rFonts w:ascii="SimSun" w:hAnsi="SimSun" w:eastAsiaTheme="minorEastAsia" w:cs="SimSun"/>
          <w:color w:val="000000"/>
          <w:spacing w:val="1"/>
          <w:sz w:val="21"/>
          <w:szCs w:val="22"/>
          <w:lang w:val="en-US" w:eastAsia="en-US" w:bidi="ar-SA"/>
        </w:rPr>
        <w:t>按欠款方归集的期末余额前五名的其他应收款情况</w:t>
      </w:r>
    </w:p>
    <w:p>
      <w:pPr>
        <w:framePr w:w="1817" w:x="1798" w:y="59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5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728" w:x="7523" w:y="67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占其他应收款期</w:t>
      </w:r>
    </w:p>
    <w:p>
      <w:pPr>
        <w:framePr w:w="1728" w:x="7523" w:y="679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末余额合计数的</w:t>
      </w:r>
    </w:p>
    <w:p>
      <w:pPr>
        <w:framePr w:w="1728" w:x="7523" w:y="6795"/>
        <w:widowControl w:val="0"/>
        <w:autoSpaceDE w:val="0"/>
        <w:autoSpaceDN w:val="0"/>
        <w:spacing w:before="60" w:line="211" w:lineRule="exact"/>
        <w:ind w:left="37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1728" w:x="7523" w:y="6795"/>
        <w:widowControl w:val="0"/>
        <w:autoSpaceDE w:val="0"/>
        <w:autoSpaceDN w:val="0"/>
        <w:spacing w:before="72" w:line="211" w:lineRule="exact"/>
        <w:ind w:left="96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77.88</w:t>
      </w:r>
    </w:p>
    <w:p>
      <w:pPr>
        <w:framePr w:w="1085" w:x="9508" w:y="69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085" w:x="9508" w:y="693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1536" w:y="70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296" w:x="3068" w:y="70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款项的性质</w:t>
      </w:r>
    </w:p>
    <w:p>
      <w:pPr>
        <w:framePr w:w="1085" w:x="4844" w:y="70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6520" w:y="70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2854" w:x="1337" w:y="76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4"/>
          <w:sz w:val="21"/>
          <w:szCs w:val="22"/>
          <w:lang w:val="en-US" w:eastAsia="en-US" w:bidi="ar-SA"/>
        </w:rPr>
        <w:t>单位一（注</w:t>
      </w:r>
      <w:r>
        <w:rPr>
          <w:rFonts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6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保险理赔款</w:t>
      </w:r>
    </w:p>
    <w:p>
      <w:pPr>
        <w:framePr w:w="2686" w:x="4583" w:y="76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11,965,482.45</w:t>
      </w:r>
      <w:r>
        <w:rPr>
          <w:rFonts w:ascii="SimSun" w:eastAsiaTheme="minorEastAsia" w:hAnsiTheme="minorHAnsi" w:cstheme="minorBidi"/>
          <w:color w:val="000000"/>
          <w:spacing w:val="183"/>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686" w:x="4583" w:y="7623"/>
        <w:widowControl w:val="0"/>
        <w:autoSpaceDE w:val="0"/>
        <w:autoSpaceDN w:val="0"/>
        <w:spacing w:before="70" w:line="211" w:lineRule="exact"/>
        <w:ind w:left="18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2,493,992.58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686" w:x="4583" w:y="7623"/>
        <w:widowControl w:val="0"/>
        <w:autoSpaceDE w:val="0"/>
        <w:autoSpaceDN w:val="0"/>
        <w:spacing w:before="72" w:line="211" w:lineRule="exact"/>
        <w:ind w:left="38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235,253.80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686" w:x="4583" w:y="7623"/>
        <w:widowControl w:val="0"/>
        <w:autoSpaceDE w:val="0"/>
        <w:autoSpaceDN w:val="0"/>
        <w:spacing w:before="72" w:line="211" w:lineRule="exact"/>
        <w:ind w:left="38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224,081.95</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686" w:x="4583" w:y="7623"/>
        <w:widowControl w:val="0"/>
        <w:autoSpaceDE w:val="0"/>
        <w:autoSpaceDN w:val="0"/>
        <w:spacing w:before="70" w:line="211" w:lineRule="exact"/>
        <w:ind w:left="49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64,746.12</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296" w:x="9583" w:y="76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598,274.12</w:t>
      </w:r>
    </w:p>
    <w:p>
      <w:pPr>
        <w:framePr w:w="1296" w:x="9583" w:y="762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124,699.63</w:t>
      </w:r>
    </w:p>
    <w:p>
      <w:pPr>
        <w:framePr w:w="1296" w:x="9583" w:y="762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11,762.69</w:t>
      </w:r>
    </w:p>
    <w:p>
      <w:pPr>
        <w:framePr w:w="1296" w:x="9583" w:y="762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11,204.10</w:t>
      </w:r>
    </w:p>
    <w:p>
      <w:pPr>
        <w:framePr w:w="1296" w:x="9583" w:y="7623"/>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3,237.31</w:t>
      </w:r>
    </w:p>
    <w:p>
      <w:pPr>
        <w:framePr w:w="874" w:x="1337" w:y="7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单位二</w:t>
      </w:r>
    </w:p>
    <w:p>
      <w:pPr>
        <w:framePr w:w="874" w:x="1337" w:y="790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单位三</w:t>
      </w:r>
    </w:p>
    <w:p>
      <w:pPr>
        <w:framePr w:w="874" w:x="1337" w:y="790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单位四</w:t>
      </w:r>
    </w:p>
    <w:p>
      <w:pPr>
        <w:framePr w:w="874" w:x="1337" w:y="790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单位五</w:t>
      </w:r>
    </w:p>
    <w:p>
      <w:pPr>
        <w:framePr w:w="1085" w:x="2897" w:y="7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出口退税</w:t>
      </w:r>
    </w:p>
    <w:p>
      <w:pPr>
        <w:framePr w:w="1085" w:x="2897" w:y="790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085" w:x="2897" w:y="790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085" w:x="2897" w:y="790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085" w:x="2897" w:y="7903"/>
        <w:widowControl w:val="0"/>
        <w:autoSpaceDE w:val="0"/>
        <w:autoSpaceDN w:val="0"/>
        <w:spacing w:before="72" w:line="211" w:lineRule="exact"/>
        <w:ind w:left="64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768" w:x="8483" w:y="79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16.23</w:t>
      </w:r>
    </w:p>
    <w:p>
      <w:pPr>
        <w:framePr w:w="768" w:x="8483" w:y="790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1.53</w:t>
      </w:r>
    </w:p>
    <w:p>
      <w:pPr>
        <w:framePr w:w="662" w:x="8589" w:y="84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1.46</w:t>
      </w:r>
    </w:p>
    <w:p>
      <w:pPr>
        <w:framePr w:w="662" w:x="8589" w:y="87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0.42</w:t>
      </w:r>
    </w:p>
    <w:p>
      <w:pPr>
        <w:framePr w:w="662" w:x="1745" w:y="90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4657" w:y="90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14,983,556.90</w:t>
      </w:r>
    </w:p>
    <w:p>
      <w:pPr>
        <w:framePr w:w="346" w:x="6678" w:y="90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769" w:x="8483" w:y="90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97.52</w:t>
      </w:r>
    </w:p>
    <w:p>
      <w:pPr>
        <w:framePr w:w="1296" w:x="9583" w:y="90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749,177.85</w:t>
      </w:r>
    </w:p>
    <w:p>
      <w:pPr>
        <w:framePr w:w="8659" w:x="2218" w:y="9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30"/>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pacing w:val="-2"/>
          <w:sz w:val="21"/>
          <w:szCs w:val="22"/>
          <w:lang w:val="en-US" w:eastAsia="en-US" w:bidi="ar-SA"/>
        </w:rPr>
        <w:t>日，子公司辽宁先达烯草酮车间发生爆炸事故，根据中国人寿财产保险</w:t>
      </w:r>
    </w:p>
    <w:p>
      <w:pPr>
        <w:framePr w:w="7809" w:x="1798" w:y="98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股份有限公司提供的财产损失定损数据，辽宁先达预计获理赔款</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1,196.55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2"/>
          <w:sz w:val="21"/>
          <w:szCs w:val="22"/>
          <w:lang w:val="en-US" w:eastAsia="en-US" w:bidi="ar-SA"/>
        </w:rPr>
        <w:t>万元。</w:t>
      </w:r>
    </w:p>
    <w:p>
      <w:pPr>
        <w:framePr w:w="2988" w:x="1798" w:y="10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(7).</w:t>
      </w:r>
      <w:r>
        <w:rPr>
          <w:rFonts w:ascii="SimSun" w:hAnsi="SimSun" w:eastAsiaTheme="minorEastAsia" w:cs="SimSun"/>
          <w:color w:val="000000"/>
          <w:spacing w:val="1"/>
          <w:sz w:val="21"/>
          <w:szCs w:val="22"/>
          <w:lang w:val="en-US" w:eastAsia="en-US" w:bidi="ar-SA"/>
        </w:rPr>
        <w:t>涉及政府补助的应收款项</w:t>
      </w:r>
    </w:p>
    <w:p>
      <w:pPr>
        <w:framePr w:w="2988" w:x="1798" w:y="1037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4" w:x="1798" w:y="114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(8).</w:t>
      </w:r>
      <w:r>
        <w:rPr>
          <w:rFonts w:ascii="SimSun" w:hAnsi="SimSun" w:eastAsiaTheme="minorEastAsia" w:cs="SimSun"/>
          <w:color w:val="000000"/>
          <w:spacing w:val="1"/>
          <w:sz w:val="21"/>
          <w:szCs w:val="22"/>
          <w:lang w:val="en-US" w:eastAsia="en-US" w:bidi="ar-SA"/>
        </w:rPr>
        <w:t>因金融资产转移而终止确认的其他应收款</w:t>
      </w:r>
    </w:p>
    <w:p>
      <w:pPr>
        <w:framePr w:w="4464" w:x="1798" w:y="11429"/>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520" w:x="1798" w:y="124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(9).</w:t>
      </w:r>
      <w:r>
        <w:rPr>
          <w:rFonts w:ascii="SimSun" w:hAnsi="SimSun" w:eastAsiaTheme="minorEastAsia" w:cs="SimSun"/>
          <w:color w:val="000000"/>
          <w:spacing w:val="1"/>
          <w:sz w:val="21"/>
          <w:szCs w:val="22"/>
          <w:lang w:val="en-US" w:eastAsia="en-US" w:bidi="ar-SA"/>
        </w:rPr>
        <w:t>转移其他应收款且继续涉入形成的资产、负债的金额</w:t>
      </w:r>
    </w:p>
    <w:p>
      <w:pPr>
        <w:framePr w:w="5520" w:x="1798" w:y="1248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35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922" w:x="1798" w:y="140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1" type="#_x0000_t75" style="width:445.6pt;height:2.7pt;margin-top:53.65pt;margin-left:87.45pt;mso-position-horizontal-relative:page;mso-position-vertical-relative:page;position:absolute;z-index:-251272192">
            <v:imagedata r:id="rId238" o:title=""/>
          </v:shape>
        </w:pict>
      </w:r>
      <w:r>
        <w:rPr>
          <w:noProof/>
        </w:rPr>
        <w:pict>
          <v:shape id="_x0000_s1322" type="#_x0000_t75" style="width:455.55pt;height:86.25pt;margin-top:74.3pt;margin-left:83pt;mso-position-horizontal-relative:page;mso-position-vertical-relative:page;position:absolute;z-index:-251374592">
            <v:imagedata r:id="rId239" o:title=""/>
          </v:shape>
        </w:pict>
      </w:r>
      <w:r>
        <w:rPr>
          <w:noProof/>
        </w:rPr>
        <w:pict>
          <v:shape id="_x0000_s1323" type="#_x0000_t75" style="width:478pt;height:128.5pt;margin-top:336.75pt;margin-left:60.3pt;mso-position-horizontal-relative:page;mso-position-vertical-relative:page;position:absolute;z-index:-251517952">
            <v:imagedata r:id="rId240" o:title=""/>
          </v:shape>
        </w:pict>
      </w:r>
    </w:p>
    <w:p>
      <w:pPr>
        <w:spacing w:line="0" w:lineRule="atLeast"/>
        <w:rPr>
          <w:rFonts w:ascii="Arial" w:eastAsiaTheme="minorEastAsia" w:hAnsiTheme="minorHAnsi" w:cstheme="minorBidi"/>
          <w:color w:val="FF0000"/>
          <w:sz w:val="2"/>
          <w:szCs w:val="22"/>
          <w:lang w:val="en-US" w:eastAsia="en-US" w:bidi="ar-SA"/>
        </w:rPr>
      </w:pPr>
      <w:bookmarkStart w:id="138" w:name="br1_137"/>
      <w:bookmarkEnd w:id="13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2"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存货</w:t>
      </w:r>
    </w:p>
    <w:p>
      <w:pPr>
        <w:framePr w:w="1512"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存货分类</w:t>
      </w:r>
    </w:p>
    <w:p>
      <w:pPr>
        <w:framePr w:w="1817" w:x="1798" w:y="23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6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671"/>
        <w:widowControl w:val="0"/>
        <w:autoSpaceDE w:val="0"/>
        <w:autoSpaceDN w:val="0"/>
        <w:spacing w:before="70" w:line="211" w:lineRule="exact"/>
        <w:ind w:left="36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507" w:x="3507" w:y="2952"/>
        <w:widowControl w:val="0"/>
        <w:autoSpaceDE w:val="0"/>
        <w:autoSpaceDN w:val="0"/>
        <w:spacing w:line="211" w:lineRule="exact"/>
        <w:ind w:left="3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507" w:x="3507" w:y="295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存货跌价准备</w:t>
      </w:r>
    </w:p>
    <w:p>
      <w:pPr>
        <w:framePr w:w="1507" w:x="3507" w:y="2952"/>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合同履约成</w:t>
      </w:r>
    </w:p>
    <w:p>
      <w:pPr>
        <w:framePr w:w="1507" w:x="3507" w:y="2952"/>
        <w:widowControl w:val="0"/>
        <w:autoSpaceDE w:val="0"/>
        <w:autoSpaceDN w:val="0"/>
        <w:spacing w:before="6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本减值准备</w:t>
      </w:r>
    </w:p>
    <w:p>
      <w:pPr>
        <w:framePr w:w="1507" w:x="8469" w:y="32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存货跌价准备</w:t>
      </w:r>
    </w:p>
    <w:p>
      <w:pPr>
        <w:framePr w:w="662" w:x="948" w:y="33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2156" w:y="3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5418" w:y="3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7120" w:y="3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402" w:x="8521" w:y="3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合同履约成</w:t>
      </w:r>
    </w:p>
    <w:p>
      <w:pPr>
        <w:framePr w:w="1085" w:x="10238" w:y="3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296" w:x="8572" w:y="37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本减值准备</w:t>
      </w:r>
    </w:p>
    <w:p>
      <w:pPr>
        <w:framePr w:w="874" w:x="629" w:y="40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原材料</w:t>
      </w:r>
    </w:p>
    <w:p>
      <w:pPr>
        <w:framePr w:w="3065" w:x="1985" w:y="40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114,396,502.</w:t>
      </w:r>
      <w:r>
        <w:rPr>
          <w:rFonts w:ascii="SimSun" w:eastAsiaTheme="minorEastAsia" w:hAnsiTheme="minorHAnsi" w:cstheme="minorBidi"/>
          <w:color w:val="000000"/>
          <w:spacing w:val="19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14,653,668.9</w:t>
      </w:r>
    </w:p>
    <w:p>
      <w:pPr>
        <w:framePr w:w="6284" w:x="5283" w:y="40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99,742,833.07</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145,913,127.</w:t>
      </w:r>
      <w:r>
        <w:rPr>
          <w:rFonts w:ascii="SimSun" w:eastAsiaTheme="minorEastAsia" w:hAnsiTheme="minorHAnsi" w:cstheme="minorBidi"/>
          <w:color w:val="000000"/>
          <w:spacing w:val="19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18,358,271.6</w:t>
      </w:r>
      <w:r>
        <w:rPr>
          <w:rFonts w:ascii="SimSun" w:eastAsiaTheme="minorEastAsia" w:hAnsiTheme="minorHAnsi" w:cstheme="minorBidi"/>
          <w:color w:val="000000"/>
          <w:spacing w:val="19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127,554,856.</w:t>
      </w:r>
    </w:p>
    <w:p>
      <w:pPr>
        <w:framePr w:w="1507" w:x="1985" w:y="4334"/>
        <w:widowControl w:val="0"/>
        <w:autoSpaceDE w:val="0"/>
        <w:autoSpaceDN w:val="0"/>
        <w:spacing w:line="211" w:lineRule="exact"/>
        <w:ind w:left="104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w:t>
      </w:r>
    </w:p>
    <w:p>
      <w:pPr>
        <w:framePr w:w="1507" w:x="1985" w:y="433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10,934,652.1</w:t>
      </w:r>
    </w:p>
    <w:p>
      <w:pPr>
        <w:framePr w:w="1507" w:x="1985" w:y="4334"/>
        <w:widowControl w:val="0"/>
        <w:autoSpaceDE w:val="0"/>
        <w:autoSpaceDN w:val="0"/>
        <w:spacing w:before="60" w:line="211" w:lineRule="exact"/>
        <w:ind w:left="115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4703" w:y="43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w:t>
      </w:r>
    </w:p>
    <w:p>
      <w:pPr>
        <w:framePr w:w="451" w:x="7998" w:y="43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82</w:t>
      </w:r>
    </w:p>
    <w:p>
      <w:pPr>
        <w:framePr w:w="346" w:x="9662" w:y="43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451" w:x="11114" w:y="43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874" w:x="629" w:y="46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在产品</w:t>
      </w:r>
    </w:p>
    <w:p>
      <w:pPr>
        <w:framePr w:w="3169" w:x="5283" w:y="46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10,934,652.15</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6,284,679.33</w:t>
      </w:r>
    </w:p>
    <w:p>
      <w:pPr>
        <w:framePr w:w="1507" w:x="10065" w:y="46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6,284,679.33</w:t>
      </w:r>
    </w:p>
    <w:p>
      <w:pPr>
        <w:framePr w:w="1085" w:x="629" w:y="51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库存商品</w:t>
      </w:r>
    </w:p>
    <w:p>
      <w:pPr>
        <w:framePr w:w="9582" w:x="1985" w:y="51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162,993,342.</w:t>
      </w:r>
      <w:r>
        <w:rPr>
          <w:rFonts w:ascii="SimSun" w:eastAsiaTheme="minorEastAsia" w:hAnsiTheme="minorHAnsi" w:cstheme="minorBidi"/>
          <w:color w:val="000000"/>
          <w:spacing w:val="19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1,704,019.16</w:t>
      </w:r>
      <w:r>
        <w:rPr>
          <w:rFonts w:ascii="SimSun" w:eastAsiaTheme="minorEastAsia" w:hAnsiTheme="minorHAnsi" w:cstheme="minorBidi"/>
          <w:color w:val="000000"/>
          <w:spacing w:val="26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161,289,323.36</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202,301,474.</w:t>
      </w:r>
      <w:r>
        <w:rPr>
          <w:rFonts w:ascii="SimSun" w:eastAsiaTheme="minorEastAsia" w:hAnsiTheme="minorHAnsi" w:cstheme="minorBidi"/>
          <w:color w:val="000000"/>
          <w:spacing w:val="19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2,963,673.62</w:t>
      </w:r>
      <w:r>
        <w:rPr>
          <w:rFonts w:ascii="SimSun" w:eastAsiaTheme="minorEastAsia" w:hAnsiTheme="minorHAnsi" w:cstheme="minorBidi"/>
          <w:color w:val="000000"/>
          <w:spacing w:val="19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199,337,801.</w:t>
      </w:r>
    </w:p>
    <w:p>
      <w:pPr>
        <w:framePr w:w="451" w:x="3034" w:y="54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52</w:t>
      </w:r>
    </w:p>
    <w:p>
      <w:pPr>
        <w:framePr w:w="451" w:x="7998" w:y="54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98</w:t>
      </w:r>
    </w:p>
    <w:p>
      <w:pPr>
        <w:framePr w:w="451" w:x="11114" w:y="54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36</w:t>
      </w:r>
    </w:p>
    <w:p>
      <w:pPr>
        <w:framePr w:w="1296" w:x="629" w:y="57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周转材料</w:t>
      </w:r>
    </w:p>
    <w:p>
      <w:pPr>
        <w:framePr w:w="1296" w:x="629" w:y="572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消耗性生物</w:t>
      </w:r>
    </w:p>
    <w:p>
      <w:pPr>
        <w:framePr w:w="1296" w:x="629" w:y="572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w:t>
      </w:r>
    </w:p>
    <w:p>
      <w:pPr>
        <w:framePr w:w="1296" w:x="629" w:y="6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合同履约成</w:t>
      </w:r>
    </w:p>
    <w:p>
      <w:pPr>
        <w:framePr w:w="1296" w:x="629" w:y="656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w:t>
      </w:r>
    </w:p>
    <w:p>
      <w:pPr>
        <w:framePr w:w="1085" w:x="629" w:y="71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发出商品</w:t>
      </w:r>
    </w:p>
    <w:p>
      <w:pPr>
        <w:framePr w:w="1507" w:x="1985" w:y="71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23,201,206.0</w:t>
      </w:r>
    </w:p>
    <w:p>
      <w:pPr>
        <w:framePr w:w="1507" w:x="1985" w:y="7119"/>
        <w:widowControl w:val="0"/>
        <w:autoSpaceDE w:val="0"/>
        <w:autoSpaceDN w:val="0"/>
        <w:spacing w:before="60" w:line="211" w:lineRule="exact"/>
        <w:ind w:left="115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1296" w:x="3756" w:y="71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129,837.93</w:t>
      </w:r>
    </w:p>
    <w:p>
      <w:pPr>
        <w:framePr w:w="3169" w:x="5283" w:y="71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23,071,368.12</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13,046,158.5</w:t>
      </w:r>
    </w:p>
    <w:p>
      <w:pPr>
        <w:framePr w:w="1507" w:x="10065" w:y="71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13,046,158.5</w:t>
      </w:r>
    </w:p>
    <w:p>
      <w:pPr>
        <w:framePr w:w="346" w:x="8104" w:y="73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1507" w:x="10065" w:y="7390"/>
        <w:widowControl w:val="0"/>
        <w:autoSpaceDE w:val="0"/>
        <w:autoSpaceDN w:val="0"/>
        <w:spacing w:line="211" w:lineRule="exact"/>
        <w:ind w:left="115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1507" w:x="10065" w:y="739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87,427,098.5</w:t>
      </w:r>
    </w:p>
    <w:p>
      <w:pPr>
        <w:framePr w:w="1507" w:x="10065" w:y="7390"/>
        <w:widowControl w:val="0"/>
        <w:autoSpaceDE w:val="0"/>
        <w:autoSpaceDN w:val="0"/>
        <w:spacing w:before="60" w:line="211" w:lineRule="exact"/>
        <w:ind w:left="115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2859" w:x="629" w:y="76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自制半成品</w:t>
      </w:r>
      <w:r>
        <w:rPr>
          <w:rFonts w:eastAsiaTheme="minorEastAsia" w:hAnsiTheme="minorHAnsi" w:cstheme="minorBidi"/>
          <w:color w:val="000000"/>
          <w:spacing w:val="2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101,270,757.</w:t>
      </w:r>
    </w:p>
    <w:p>
      <w:pPr>
        <w:framePr w:w="3274" w:x="5178" w:y="76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101,270,757.73</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87,427,098.5</w:t>
      </w:r>
    </w:p>
    <w:p>
      <w:pPr>
        <w:framePr w:w="3274" w:x="5178" w:y="7673"/>
        <w:widowControl w:val="0"/>
        <w:autoSpaceDE w:val="0"/>
        <w:autoSpaceDN w:val="0"/>
        <w:spacing w:before="60" w:line="211" w:lineRule="exact"/>
        <w:ind w:left="29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451" w:x="3034" w:y="79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73</w:t>
      </w:r>
    </w:p>
    <w:p>
      <w:pPr>
        <w:framePr w:w="662" w:x="946" w:y="82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9582" w:x="1985" w:y="82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412,796,460.</w:t>
      </w:r>
      <w:r>
        <w:rPr>
          <w:rFonts w:ascii="SimSun" w:eastAsiaTheme="minorEastAsia" w:hAnsiTheme="minorHAnsi" w:cstheme="minorBidi"/>
          <w:color w:val="000000"/>
          <w:spacing w:val="19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16,487,526.0</w:t>
      </w:r>
      <w:r>
        <w:rPr>
          <w:rFonts w:ascii="SimSun" w:eastAsiaTheme="minorEastAsia" w:hAnsiTheme="minorHAnsi" w:cstheme="minorBidi"/>
          <w:color w:val="000000"/>
          <w:spacing w:val="26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396,308,934.43</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454,972,539.</w:t>
      </w:r>
      <w:r>
        <w:rPr>
          <w:rFonts w:ascii="SimSun" w:eastAsiaTheme="minorEastAsia" w:hAnsiTheme="minorHAnsi" w:cstheme="minorBidi"/>
          <w:color w:val="000000"/>
          <w:spacing w:val="19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21,321,945.2</w:t>
      </w:r>
      <w:r>
        <w:rPr>
          <w:rFonts w:ascii="SimSun" w:eastAsiaTheme="minorEastAsia" w:hAnsiTheme="minorHAnsi" w:cstheme="minorBidi"/>
          <w:color w:val="000000"/>
          <w:spacing w:val="19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433,650,594.</w:t>
      </w:r>
    </w:p>
    <w:p>
      <w:pPr>
        <w:framePr w:w="451" w:x="3034" w:y="84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w:t>
      </w:r>
    </w:p>
    <w:p>
      <w:pPr>
        <w:framePr w:w="346" w:x="4703" w:y="84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w:t>
      </w:r>
    </w:p>
    <w:p>
      <w:pPr>
        <w:framePr w:w="451" w:x="7998" w:y="84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w:t>
      </w:r>
    </w:p>
    <w:p>
      <w:pPr>
        <w:framePr w:w="346" w:x="9662" w:y="84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451" w:x="11114" w:y="84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4253" w:x="1798" w:y="89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存货跌价准备及合同履约成本减值准备</w:t>
      </w:r>
    </w:p>
    <w:p>
      <w:pPr>
        <w:framePr w:w="1817" w:x="1798" w:y="94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99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507" w:x="4998" w:y="102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本期增加金额</w:t>
      </w:r>
    </w:p>
    <w:p>
      <w:pPr>
        <w:framePr w:w="2257" w:x="7230" w:y="10242"/>
        <w:widowControl w:val="0"/>
        <w:autoSpaceDE w:val="0"/>
        <w:autoSpaceDN w:val="0"/>
        <w:spacing w:line="211" w:lineRule="exact"/>
        <w:ind w:left="3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本期减少金额</w:t>
      </w:r>
    </w:p>
    <w:p>
      <w:pPr>
        <w:framePr w:w="2257" w:x="7230" w:y="10242"/>
        <w:widowControl w:val="0"/>
        <w:autoSpaceDE w:val="0"/>
        <w:autoSpaceDN w:val="0"/>
        <w:spacing w:before="8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转回或转销</w:t>
      </w:r>
      <w:r>
        <w:rPr>
          <w:rFonts w:eastAsiaTheme="minorEastAsia" w:hAnsiTheme="minorHAnsi" w:cstheme="minorBidi"/>
          <w:color w:val="000000"/>
          <w:spacing w:val="4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196" w:x="1054" w:y="10398"/>
        <w:widowControl w:val="0"/>
        <w:autoSpaceDE w:val="0"/>
        <w:autoSpaceDN w:val="0"/>
        <w:spacing w:line="211" w:lineRule="exact"/>
        <w:ind w:left="5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196" w:x="1054" w:y="10398"/>
        <w:widowControl w:val="0"/>
        <w:autoSpaceDE w:val="0"/>
        <w:autoSpaceDN w:val="0"/>
        <w:spacing w:before="22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原材料</w:t>
      </w:r>
    </w:p>
    <w:p>
      <w:pPr>
        <w:framePr w:w="1085" w:x="3082" w:y="103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9885" w:y="103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4921" w:y="105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662" w:x="6198" w:y="105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613" w:x="2876" w:y="108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18,358,271.62</w:t>
      </w:r>
    </w:p>
    <w:p>
      <w:pPr>
        <w:framePr w:w="1296" w:x="4753" w:y="108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674,038.80</w:t>
      </w:r>
    </w:p>
    <w:p>
      <w:pPr>
        <w:framePr w:w="1507" w:x="7237" w:y="108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4,378,641.43</w:t>
      </w:r>
    </w:p>
    <w:p>
      <w:pPr>
        <w:framePr w:w="1613" w:x="9676" w:y="108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14,653,668.99</w:t>
      </w:r>
    </w:p>
    <w:p>
      <w:pPr>
        <w:framePr w:w="874" w:x="1054" w:y="111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在产品</w:t>
      </w:r>
    </w:p>
    <w:p>
      <w:pPr>
        <w:framePr w:w="1718" w:x="1054" w:y="114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库存商品</w:t>
      </w:r>
    </w:p>
    <w:p>
      <w:pPr>
        <w:framePr w:w="1718" w:x="1054" w:y="1140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周转材料</w:t>
      </w:r>
    </w:p>
    <w:p>
      <w:pPr>
        <w:framePr w:w="1718" w:x="1054" w:y="1140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消耗性生物资产</w:t>
      </w:r>
    </w:p>
    <w:p>
      <w:pPr>
        <w:framePr w:w="1718" w:x="1054" w:y="1140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合同履约成本</w:t>
      </w:r>
    </w:p>
    <w:p>
      <w:pPr>
        <w:framePr w:w="1718" w:x="1054" w:y="1140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发出商品</w:t>
      </w:r>
    </w:p>
    <w:p>
      <w:pPr>
        <w:framePr w:w="1718" w:x="1054" w:y="11401"/>
        <w:widowControl w:val="0"/>
        <w:autoSpaceDE w:val="0"/>
        <w:autoSpaceDN w:val="0"/>
        <w:spacing w:before="72" w:line="211" w:lineRule="exact"/>
        <w:ind w:left="5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2981" w:y="114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2,963,673.62</w:t>
      </w:r>
    </w:p>
    <w:p>
      <w:pPr>
        <w:framePr w:w="1190" w:x="4859" w:y="114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11,730.18</w:t>
      </w:r>
    </w:p>
    <w:p>
      <w:pPr>
        <w:framePr w:w="1507" w:x="7237" w:y="114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1,271,384.64</w:t>
      </w:r>
    </w:p>
    <w:p>
      <w:pPr>
        <w:framePr w:w="1507" w:x="9782" w:y="114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1,704,019.16</w:t>
      </w:r>
    </w:p>
    <w:p>
      <w:pPr>
        <w:framePr w:w="1296" w:x="4753" w:y="125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129,837.93</w:t>
      </w:r>
    </w:p>
    <w:p>
      <w:pPr>
        <w:framePr w:w="1296" w:x="4753" w:y="125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815,606.91</w:t>
      </w:r>
    </w:p>
    <w:p>
      <w:pPr>
        <w:framePr w:w="1296" w:x="9991" w:y="125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129,837.93</w:t>
      </w:r>
    </w:p>
    <w:p>
      <w:pPr>
        <w:framePr w:w="1613" w:x="2876" w:y="128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21,321,945.24</w:t>
      </w:r>
    </w:p>
    <w:p>
      <w:pPr>
        <w:framePr w:w="1507" w:x="7237" w:y="128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5,650,026.07</w:t>
      </w:r>
    </w:p>
    <w:p>
      <w:pPr>
        <w:framePr w:w="1613" w:x="9676" w:y="128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16,487,526.08</w:t>
      </w:r>
    </w:p>
    <w:p>
      <w:pPr>
        <w:framePr w:w="4886" w:x="1798" w:y="134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存货期末余额含有借款费用资本化金额的说明</w:t>
      </w:r>
    </w:p>
    <w:p>
      <w:pPr>
        <w:framePr w:w="4886" w:x="1798" w:y="1348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145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合同履约成本本期摊销金额的说明</w:t>
      </w:r>
    </w:p>
    <w:p>
      <w:pPr>
        <w:framePr w:w="3830" w:x="1798" w:y="14543"/>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4" type="#_x0000_t75" style="width:445.6pt;height:2.7pt;margin-top:53.65pt;margin-left:87.45pt;mso-position-horizontal-relative:page;mso-position-vertical-relative:page;position:absolute;z-index:-251271168">
            <v:imagedata r:id="rId241" o:title=""/>
          </v:shape>
        </w:pict>
      </w:r>
      <w:r>
        <w:rPr>
          <w:noProof/>
        </w:rPr>
        <w:pict>
          <v:shape id="_x0000_s1325" type="#_x0000_t75" style="width:548.35pt;height:294pt;margin-top:144.6pt;margin-left:24.8pt;mso-position-horizontal-relative:page;mso-position-vertical-relative:page;position:absolute;z-index:-251373568">
            <v:imagedata r:id="rId242" o:title=""/>
          </v:shape>
        </w:pict>
      </w:r>
      <w:r>
        <w:rPr>
          <w:noProof/>
        </w:rPr>
        <w:pict>
          <v:shape id="_x0000_s1326" type="#_x0000_t75" style="width:512.95pt;height:145.2pt;margin-top:509.1pt;margin-left:46.05pt;mso-position-horizontal-relative:page;mso-position-vertical-relative:page;position:absolute;z-index:-251516928">
            <v:imagedata r:id="rId243" o:title=""/>
          </v:shape>
        </w:pict>
      </w:r>
    </w:p>
    <w:p>
      <w:pPr>
        <w:spacing w:line="0" w:lineRule="atLeast"/>
        <w:rPr>
          <w:rFonts w:ascii="Arial" w:eastAsiaTheme="minorEastAsia" w:hAnsiTheme="minorHAnsi" w:cstheme="minorBidi"/>
          <w:color w:val="FF0000"/>
          <w:sz w:val="2"/>
          <w:szCs w:val="22"/>
          <w:lang w:val="en-US" w:eastAsia="en-US" w:bidi="ar-SA"/>
        </w:rPr>
      </w:pPr>
      <w:bookmarkStart w:id="139" w:name="br1_138"/>
      <w:bookmarkEnd w:id="13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934"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4"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合同资产</w:t>
      </w:r>
    </w:p>
    <w:p>
      <w:pPr>
        <w:framePr w:w="1934"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合同资产情况</w:t>
      </w:r>
    </w:p>
    <w:p>
      <w:pPr>
        <w:framePr w:w="1934"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886"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报告期内账面价值发生重大变动的金额和原因</w:t>
      </w:r>
    </w:p>
    <w:p>
      <w:pPr>
        <w:framePr w:w="1817"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5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本期合同资产计提减值准备情况</w:t>
      </w:r>
    </w:p>
    <w:p>
      <w:pPr>
        <w:framePr w:w="1817"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576" w:x="1798" w:y="6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如按预期信用损失一般模型计提坏账准备，请参照其他应收款披露：</w:t>
      </w:r>
    </w:p>
    <w:p>
      <w:pPr>
        <w:framePr w:w="1817" w:x="1798" w:y="6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68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3830" w:x="1798" w:y="7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持有待售资产</w:t>
      </w:r>
    </w:p>
    <w:p>
      <w:pPr>
        <w:framePr w:w="3830"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7879"/>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一年内到期的非流动资产</w:t>
      </w:r>
    </w:p>
    <w:p>
      <w:pPr>
        <w:framePr w:w="3830"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期末重要的债权投资和其他债权投资：</w:t>
      </w:r>
    </w:p>
    <w:p>
      <w:pPr>
        <w:framePr w:w="3830"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451" w:x="1798" w:y="121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011" w:x="1798" w:y="12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其他流动资产</w:t>
      </w:r>
    </w:p>
    <w:p>
      <w:pPr>
        <w:framePr w:w="2011" w:x="1798" w:y="1263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6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693"/>
        <w:widowControl w:val="0"/>
        <w:autoSpaceDE w:val="0"/>
        <w:autoSpaceDN w:val="0"/>
        <w:spacing w:before="72" w:line="211" w:lineRule="exact"/>
        <w:ind w:left="57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233" w:y="139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6126" w:y="139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718" w:x="1690" w:y="14260"/>
        <w:widowControl w:val="0"/>
        <w:autoSpaceDE w:val="0"/>
        <w:autoSpaceDN w:val="0"/>
        <w:spacing w:line="211" w:lineRule="exact"/>
        <w:ind w:left="10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合同取得成本</w:t>
      </w:r>
    </w:p>
    <w:p>
      <w:pPr>
        <w:framePr w:w="1718" w:x="1690" w:y="14260"/>
        <w:widowControl w:val="0"/>
        <w:autoSpaceDE w:val="0"/>
        <w:autoSpaceDN w:val="0"/>
        <w:spacing w:before="70" w:line="211" w:lineRule="exact"/>
        <w:ind w:left="10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应收退货成本</w:t>
      </w:r>
    </w:p>
    <w:p>
      <w:pPr>
        <w:framePr w:w="1718" w:x="1690" w:y="1426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增值税留抵税额</w:t>
      </w:r>
    </w:p>
    <w:p>
      <w:pPr>
        <w:framePr w:w="1613" w:x="6421" w:y="148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95,491,838.90</w:t>
      </w:r>
    </w:p>
    <w:p>
      <w:pPr>
        <w:framePr w:w="1613" w:x="6421" w:y="1482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8,910,794.66</w:t>
      </w:r>
    </w:p>
    <w:p>
      <w:pPr>
        <w:framePr w:w="1613" w:x="9266" w:y="148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83,444,652.57</w:t>
      </w:r>
    </w:p>
    <w:p>
      <w:pPr>
        <w:framePr w:w="1613" w:x="9266" w:y="1482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2,490,465.93</w:t>
      </w:r>
    </w:p>
    <w:p>
      <w:pPr>
        <w:framePr w:w="3619" w:x="1690" w:y="151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以抵消后净额列示的所得税预缴税额</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7" type="#_x0000_t75" style="width:445.6pt;height:2.7pt;margin-top:53.65pt;margin-left:87.45pt;mso-position-horizontal-relative:page;mso-position-vertical-relative:page;position:absolute;z-index:-251372544">
            <v:imagedata r:id="rId244" o:title=""/>
          </v:shape>
        </w:pict>
      </w:r>
      <w:r>
        <w:rPr>
          <w:noProof/>
        </w:rPr>
        <w:pict>
          <v:shape id="_x0000_s1328" type="#_x0000_t75" style="width:454.95pt;height:73.05pt;margin-top:695.85pt;margin-left:83.25pt;mso-position-horizontal-relative:page;mso-position-vertical-relative:page;position:absolute;z-index:-251515904">
            <v:imagedata r:id="rId245" o:title=""/>
          </v:shape>
        </w:pict>
      </w:r>
    </w:p>
    <w:p>
      <w:pPr>
        <w:spacing w:line="0" w:lineRule="atLeast"/>
        <w:rPr>
          <w:rFonts w:ascii="Arial" w:eastAsiaTheme="minorEastAsia" w:hAnsiTheme="minorHAnsi" w:cstheme="minorBidi"/>
          <w:color w:val="FF0000"/>
          <w:sz w:val="2"/>
          <w:szCs w:val="22"/>
          <w:lang w:val="en-US" w:eastAsia="en-US" w:bidi="ar-SA"/>
        </w:rPr>
      </w:pPr>
      <w:bookmarkStart w:id="140" w:name="br1_139"/>
      <w:bookmarkEnd w:id="14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718" w:x="1690"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预缴个人所得税</w:t>
      </w:r>
    </w:p>
    <w:p>
      <w:pPr>
        <w:framePr w:w="1085" w:x="979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2,068.53</w:t>
      </w:r>
    </w:p>
    <w:p>
      <w:pPr>
        <w:framePr w:w="662" w:x="3180"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6316"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104,402,633.56</w:t>
      </w:r>
    </w:p>
    <w:p>
      <w:pPr>
        <w:framePr w:w="1613" w:x="9266"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85,937,187.03</w:t>
      </w:r>
    </w:p>
    <w:p>
      <w:pPr>
        <w:framePr w:w="1085" w:x="1798" w:y="22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085" w:x="1798" w:y="223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3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债权投资</w:t>
      </w:r>
    </w:p>
    <w:p>
      <w:pPr>
        <w:framePr w:w="1934" w:x="1798" w:y="3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债权投资情况</w:t>
      </w:r>
    </w:p>
    <w:p>
      <w:pPr>
        <w:framePr w:w="1934" w:x="1798" w:y="381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8" w:x="1798" w:y="48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期末重要的债权投资</w:t>
      </w:r>
    </w:p>
    <w:p>
      <w:pPr>
        <w:framePr w:w="2568" w:x="1798" w:y="487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59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减值准备计提情况</w:t>
      </w:r>
    </w:p>
    <w:p>
      <w:pPr>
        <w:framePr w:w="2357" w:x="1798" w:y="593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421" w:x="1798" w:y="6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本期减值准备计提金额以及评估金融工具的信用风险是否显著增加的采用依据</w:t>
      </w:r>
    </w:p>
    <w:p>
      <w:pPr>
        <w:framePr w:w="1817" w:x="1798" w:y="75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80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8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91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其他债权投资</w:t>
      </w:r>
    </w:p>
    <w:p>
      <w:pPr>
        <w:framePr w:w="2357" w:x="1798" w:y="96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其他债权投资情况</w:t>
      </w:r>
    </w:p>
    <w:p>
      <w:pPr>
        <w:framePr w:w="1817" w:x="1798" w:y="10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8" w:x="1798" w:y="106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期末重要的其他债权投资</w:t>
      </w:r>
    </w:p>
    <w:p>
      <w:pPr>
        <w:framePr w:w="1817" w:x="1798" w:y="11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117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减值准备计提情况</w:t>
      </w:r>
    </w:p>
    <w:p>
      <w:pPr>
        <w:framePr w:w="1817" w:x="1798" w:y="122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421" w:x="1798" w:y="128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本期减值准备计提金额以及评估金融工具的信用风险是否显著增加的采用依据</w:t>
      </w:r>
    </w:p>
    <w:p>
      <w:pPr>
        <w:framePr w:w="1817" w:x="1798" w:y="133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333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43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9" type="#_x0000_t75" style="width:445.6pt;height:2.7pt;margin-top:53.65pt;margin-left:87.45pt;mso-position-horizontal-relative:page;mso-position-vertical-relative:page;position:absolute;z-index:-251371520">
            <v:imagedata r:id="rId246" o:title=""/>
          </v:shape>
        </w:pict>
      </w:r>
      <w:r>
        <w:rPr>
          <w:noProof/>
        </w:rPr>
        <w:pict>
          <v:shape id="_x0000_s1330" type="#_x0000_t75" style="width:454.95pt;height:30.8pt;margin-top:74.3pt;margin-left:83.25pt;mso-position-horizontal-relative:page;mso-position-vertical-relative:page;position:absolute;z-index:-251514880">
            <v:imagedata r:id="rId247" o:title=""/>
          </v:shape>
        </w:pict>
      </w:r>
    </w:p>
    <w:p>
      <w:pPr>
        <w:spacing w:line="0" w:lineRule="atLeast"/>
        <w:rPr>
          <w:rFonts w:ascii="Arial" w:eastAsiaTheme="minorEastAsia" w:hAnsiTheme="minorHAnsi" w:cstheme="minorBidi"/>
          <w:color w:val="FF0000"/>
          <w:sz w:val="2"/>
          <w:szCs w:val="22"/>
          <w:lang w:val="en-US" w:eastAsia="en-US" w:bidi="ar-SA"/>
        </w:rPr>
      </w:pPr>
      <w:bookmarkStart w:id="141" w:name="br1_140"/>
      <w:bookmarkEnd w:id="14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80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长期应收款</w:t>
      </w:r>
    </w:p>
    <w:p>
      <w:pPr>
        <w:framePr w:w="2146"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长期应收款情况</w:t>
      </w:r>
    </w:p>
    <w:p>
      <w:pPr>
        <w:framePr w:w="2146"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坏账准备计提情况</w:t>
      </w:r>
    </w:p>
    <w:p>
      <w:pPr>
        <w:framePr w:w="2357" w:x="1798" w:y="31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421"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本期坏账准备计提金额以及评估金融工具的信用风险是否显著增加的采用依据</w:t>
      </w:r>
    </w:p>
    <w:p>
      <w:pPr>
        <w:framePr w:w="1817"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4" w:x="1798" w:y="5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因金融资产转移而终止确认的长期应收款</w:t>
      </w:r>
    </w:p>
    <w:p>
      <w:pPr>
        <w:framePr w:w="4464" w:x="1798" w:y="523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09" w:x="1798" w:y="6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转移长期应收款且继续涉入形成的资产、负债金额</w:t>
      </w:r>
    </w:p>
    <w:p>
      <w:pPr>
        <w:framePr w:w="5309" w:x="1798" w:y="6293"/>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7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7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84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长期股权投资</w:t>
      </w:r>
    </w:p>
    <w:p>
      <w:pPr>
        <w:framePr w:w="1817" w:x="1798" w:y="8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7" w:x="1798" w:y="94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其他权益工具投资</w:t>
      </w:r>
    </w:p>
    <w:p>
      <w:pPr>
        <w:framePr w:w="2777" w:x="1798" w:y="94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其他权益工具投资情况</w:t>
      </w:r>
    </w:p>
    <w:p>
      <w:pPr>
        <w:framePr w:w="2777" w:x="1798" w:y="94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8" w:x="1798" w:y="11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非交易性权益工具投资的情况</w:t>
      </w:r>
    </w:p>
    <w:p>
      <w:pPr>
        <w:framePr w:w="3408" w:x="1798" w:y="1105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21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2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45" w:x="1798" w:y="13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其他非流动金融资产</w:t>
      </w:r>
    </w:p>
    <w:p>
      <w:pPr>
        <w:framePr w:w="2645" w:x="1798" w:y="131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42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31" type="#_x0000_t75" style="width:445.6pt;height:2.7pt;margin-top:53.65pt;margin-left:87.45pt;mso-position-horizontal-relative:page;mso-position-vertical-relative:page;position:absolute;z-index:-25151385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42" w:name="br1_141"/>
      <w:bookmarkEnd w:id="14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011"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投资性房地产</w:t>
      </w:r>
    </w:p>
    <w:p>
      <w:pPr>
        <w:framePr w:w="2352"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投资性房地产计量模式</w:t>
      </w:r>
    </w:p>
    <w:p>
      <w:pPr>
        <w:framePr w:w="3830"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采用成本计量模式的投资性房地产</w:t>
      </w:r>
    </w:p>
    <w:p>
      <w:pPr>
        <w:framePr w:w="2554" w:x="8320"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754" w:x="1798" w:y="3405"/>
        <w:widowControl w:val="0"/>
        <w:autoSpaceDE w:val="0"/>
        <w:autoSpaceDN w:val="0"/>
        <w:spacing w:line="211" w:lineRule="exact"/>
        <w:ind w:left="109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754" w:x="1798" w:y="340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一、账面原值</w:t>
      </w:r>
    </w:p>
    <w:p>
      <w:pPr>
        <w:framePr w:w="1563" w:x="4676"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房屋、建筑物</w:t>
      </w:r>
    </w:p>
    <w:p>
      <w:pPr>
        <w:framePr w:w="1563" w:x="4676" w:y="3405"/>
        <w:widowControl w:val="0"/>
        <w:autoSpaceDE w:val="0"/>
        <w:autoSpaceDN w:val="0"/>
        <w:spacing w:before="353" w:line="211" w:lineRule="exact"/>
        <w:ind w:left="6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4,650,995.75</w:t>
      </w:r>
    </w:p>
    <w:p>
      <w:pPr>
        <w:framePr w:w="1296" w:x="6376"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土地使用权</w:t>
      </w:r>
    </w:p>
    <w:p>
      <w:pPr>
        <w:framePr w:w="1085" w:x="8061"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662" w:x="9792"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2112" w:y="39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507" w:x="9372" w:y="3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4,650,995.75</w:t>
      </w:r>
    </w:p>
    <w:p>
      <w:pPr>
        <w:framePr w:w="1718" w:x="2112" w:y="42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2112" w:y="42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）外购</w:t>
      </w:r>
    </w:p>
    <w:p>
      <w:pPr>
        <w:framePr w:w="2458" w:x="2112" w:y="48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）存货</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固定资产</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在</w:t>
      </w:r>
    </w:p>
    <w:p>
      <w:pPr>
        <w:framePr w:w="1296" w:x="1798" w:y="50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建工程转入</w:t>
      </w:r>
    </w:p>
    <w:p>
      <w:pPr>
        <w:framePr w:w="2035" w:x="2112" w:y="53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）企业合并增加</w:t>
      </w:r>
    </w:p>
    <w:p>
      <w:pPr>
        <w:framePr w:w="2035" w:x="2112" w:y="537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2035" w:x="2112" w:y="537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w:t>
      </w:r>
    </w:p>
    <w:p>
      <w:pPr>
        <w:framePr w:w="1613" w:x="2112" w:y="62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）其他转出</w:t>
      </w:r>
    </w:p>
    <w:p>
      <w:pPr>
        <w:framePr w:w="1613" w:x="2112" w:y="6221"/>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4736" w:y="65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4,650,995.75</w:t>
      </w:r>
    </w:p>
    <w:p>
      <w:pPr>
        <w:framePr w:w="1507" w:x="9372" w:y="65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4,650,995.75</w:t>
      </w:r>
    </w:p>
    <w:p>
      <w:pPr>
        <w:framePr w:w="2563" w:x="1798" w:y="67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二、累计折旧和累计摊销</w:t>
      </w:r>
    </w:p>
    <w:p>
      <w:pPr>
        <w:framePr w:w="2563" w:x="1798" w:y="6785"/>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507" w:x="4736" w:y="70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1,682,564.57</w:t>
      </w:r>
    </w:p>
    <w:p>
      <w:pPr>
        <w:framePr w:w="1507" w:x="4736" w:y="7068"/>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220,922.28</w:t>
      </w:r>
    </w:p>
    <w:p>
      <w:pPr>
        <w:framePr w:w="1507" w:x="4736" w:y="7068"/>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220,922.28</w:t>
      </w:r>
    </w:p>
    <w:p>
      <w:pPr>
        <w:framePr w:w="1507" w:x="9372" w:y="70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1,682,564.57</w:t>
      </w:r>
    </w:p>
    <w:p>
      <w:pPr>
        <w:framePr w:w="1507" w:x="9372" w:y="7068"/>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220,922.28</w:t>
      </w:r>
    </w:p>
    <w:p>
      <w:pPr>
        <w:framePr w:w="1507" w:x="9372" w:y="7068"/>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220,922.28</w:t>
      </w:r>
    </w:p>
    <w:p>
      <w:pPr>
        <w:framePr w:w="1824" w:x="2112" w:y="7349"/>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824" w:x="2112" w:y="73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）计提或摊销</w:t>
      </w:r>
    </w:p>
    <w:p>
      <w:pPr>
        <w:framePr w:w="1824" w:x="2112" w:y="7349"/>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824" w:x="2112" w:y="73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w:t>
      </w:r>
    </w:p>
    <w:p>
      <w:pPr>
        <w:framePr w:w="1613" w:x="2112" w:y="84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）其他转出</w:t>
      </w:r>
    </w:p>
    <w:p>
      <w:pPr>
        <w:framePr w:w="1613" w:x="2112" w:y="8479"/>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4736" w:y="87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1,903,486.85</w:t>
      </w:r>
    </w:p>
    <w:p>
      <w:pPr>
        <w:framePr w:w="1507" w:x="9372" w:y="87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1,903,486.85</w:t>
      </w:r>
    </w:p>
    <w:p>
      <w:pPr>
        <w:framePr w:w="1714" w:x="1798" w:y="90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三、减值准备</w:t>
      </w:r>
    </w:p>
    <w:p>
      <w:pPr>
        <w:framePr w:w="1714" w:x="1798" w:y="9046"/>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819" w:x="2112" w:y="9610"/>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819" w:x="2112" w:y="961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1824" w:x="2218" w:y="101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824" w:x="2218" w:y="101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w:t>
      </w:r>
    </w:p>
    <w:p>
      <w:pPr>
        <w:framePr w:w="1613" w:x="2218" w:y="107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）其他转出</w:t>
      </w:r>
    </w:p>
    <w:p>
      <w:pPr>
        <w:framePr w:w="1613" w:x="2218" w:y="1074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2028" w:x="1798" w:y="113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四、账面价值</w:t>
      </w:r>
    </w:p>
    <w:p>
      <w:pPr>
        <w:framePr w:w="2028" w:x="1798" w:y="11307"/>
        <w:widowControl w:val="0"/>
        <w:autoSpaceDE w:val="0"/>
        <w:autoSpaceDN w:val="0"/>
        <w:spacing w:before="72"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期末账面价值</w:t>
      </w:r>
    </w:p>
    <w:p>
      <w:pPr>
        <w:framePr w:w="2028" w:x="1798" w:y="11307"/>
        <w:widowControl w:val="0"/>
        <w:autoSpaceDE w:val="0"/>
        <w:autoSpaceDN w:val="0"/>
        <w:spacing w:before="72"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期初账面价值</w:t>
      </w:r>
    </w:p>
    <w:p>
      <w:pPr>
        <w:framePr w:w="1507" w:x="4736" w:y="115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2,747,508.90</w:t>
      </w:r>
    </w:p>
    <w:p>
      <w:pPr>
        <w:framePr w:w="1507" w:x="4736" w:y="1159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1507" w:x="9372" w:y="115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2,747,508.90</w:t>
      </w:r>
    </w:p>
    <w:p>
      <w:pPr>
        <w:framePr w:w="1507" w:x="9372" w:y="1159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4042" w:x="1798" w:y="122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未办妥产权证书的投资性房地产情况</w:t>
      </w:r>
    </w:p>
    <w:p>
      <w:pPr>
        <w:framePr w:w="4042" w:x="1798" w:y="122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55" w:y="13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13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32" type="#_x0000_t75" style="width:445.6pt;height:2.7pt;margin-top:53.65pt;margin-left:87.45pt;mso-position-horizontal-relative:page;mso-position-vertical-relative:page;position:absolute;z-index:-251370496">
            <v:imagedata r:id="rId248" o:title=""/>
          </v:shape>
        </w:pict>
      </w:r>
      <w:r>
        <w:rPr>
          <w:noProof/>
        </w:rPr>
        <w:pict>
          <v:shape id="_x0000_s1333" type="#_x0000_t75" style="width:454.95pt;height:440.9pt;margin-top:167.3pt;margin-left:83.25pt;mso-position-horizontal-relative:page;mso-position-vertical-relative:page;position:absolute;z-index:-251512832">
            <v:imagedata r:id="rId249" o:title=""/>
          </v:shape>
        </w:pict>
      </w:r>
    </w:p>
    <w:p>
      <w:pPr>
        <w:spacing w:line="0" w:lineRule="atLeast"/>
        <w:rPr>
          <w:rFonts w:ascii="Arial" w:eastAsiaTheme="minorEastAsia" w:hAnsiTheme="minorHAnsi" w:cstheme="minorBidi"/>
          <w:color w:val="FF0000"/>
          <w:sz w:val="2"/>
          <w:szCs w:val="22"/>
          <w:lang w:val="en-US" w:eastAsia="en-US" w:bidi="ar-SA"/>
        </w:rPr>
      </w:pPr>
      <w:bookmarkStart w:id="143" w:name="br1_142"/>
      <w:bookmarkEnd w:id="14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8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固定资产</w:t>
      </w:r>
    </w:p>
    <w:p>
      <w:pPr>
        <w:framePr w:w="1589"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3122"/>
        <w:widowControl w:val="0"/>
        <w:autoSpaceDE w:val="0"/>
        <w:autoSpaceDN w:val="0"/>
        <w:spacing w:before="72" w:line="211" w:lineRule="exact"/>
        <w:ind w:left="56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132"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6008"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1798" w:y="36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718" w:x="6282" w:y="36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537,175,841.18</w:t>
      </w:r>
    </w:p>
    <w:p>
      <w:pPr>
        <w:framePr w:w="1718" w:x="9160" w:y="36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507" w:x="1798" w:y="39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固定资产清理</w:t>
      </w:r>
    </w:p>
    <w:p>
      <w:pPr>
        <w:framePr w:w="662" w:x="3132" w:y="42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6282" w:y="42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537,175,841.18</w:t>
      </w:r>
    </w:p>
    <w:p>
      <w:pPr>
        <w:framePr w:w="1718" w:x="9160" w:y="42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296" w:x="1798" w:y="4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51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5182"/>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固定资产</w:t>
      </w:r>
    </w:p>
    <w:p>
      <w:pPr>
        <w:framePr w:w="1934" w:x="1798" w:y="6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固定资产情况</w:t>
      </w:r>
    </w:p>
    <w:p>
      <w:pPr>
        <w:framePr w:w="1934" w:x="1798" w:y="624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2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1448" w:y="75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2873" w:y="75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房屋及建筑物</w:t>
      </w:r>
    </w:p>
    <w:p>
      <w:pPr>
        <w:framePr w:w="1085" w:x="4854" w:y="75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机器设备</w:t>
      </w:r>
    </w:p>
    <w:p>
      <w:pPr>
        <w:framePr w:w="1085" w:x="6628" w:y="75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运输工具</w:t>
      </w:r>
    </w:p>
    <w:p>
      <w:pPr>
        <w:framePr w:w="1085" w:x="8327" w:y="75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电子设备</w:t>
      </w:r>
    </w:p>
    <w:p>
      <w:pPr>
        <w:framePr w:w="662" w:x="10238" w:y="75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775" w:y="7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一、账面原值：</w:t>
      </w:r>
    </w:p>
    <w:p>
      <w:pPr>
        <w:framePr w:w="1718" w:x="775" w:y="786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3555" w:x="2770" w:y="81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244,881,195.48</w:t>
      </w:r>
      <w:r>
        <w:rPr>
          <w:rFonts w:ascii="SimSun" w:eastAsiaTheme="minorEastAsia" w:hAnsiTheme="minorHAnsi" w:cstheme="minorBidi"/>
          <w:color w:val="000000"/>
          <w:spacing w:val="26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278,458,827.55</w:t>
      </w:r>
    </w:p>
    <w:p>
      <w:pPr>
        <w:framePr w:w="4904" w:x="6525" w:y="81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3,599,658.55</w:t>
      </w:r>
      <w:r>
        <w:rPr>
          <w:rFonts w:ascii="SimSun" w:eastAsiaTheme="minorEastAsia" w:hAnsiTheme="minorHAnsi" w:cstheme="minorBidi"/>
          <w:color w:val="000000"/>
          <w:spacing w:val="2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14,097,385.87</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541,037,067.45</w:t>
      </w:r>
    </w:p>
    <w:p>
      <w:pPr>
        <w:framePr w:w="1718" w:x="775" w:y="84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775" w:y="842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）购置</w:t>
      </w:r>
    </w:p>
    <w:p>
      <w:pPr>
        <w:framePr w:w="1718" w:x="2770" w:y="84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168,926,197.74</w:t>
      </w:r>
    </w:p>
    <w:p>
      <w:pPr>
        <w:framePr w:w="1718" w:x="2770" w:y="842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11,169,449.83</w:t>
      </w:r>
    </w:p>
    <w:p>
      <w:pPr>
        <w:framePr w:w="1613" w:x="4717" w:y="84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75,387,919.84</w:t>
      </w:r>
    </w:p>
    <w:p>
      <w:pPr>
        <w:framePr w:w="1613" w:x="4717" w:y="842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15,541,032.53</w:t>
      </w:r>
    </w:p>
    <w:p>
      <w:pPr>
        <w:framePr w:w="1613" w:x="4717" w:y="842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59,846,887.31</w:t>
      </w:r>
    </w:p>
    <w:p>
      <w:pPr>
        <w:framePr w:w="1296" w:x="6733" w:y="84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365,786.53</w:t>
      </w:r>
    </w:p>
    <w:p>
      <w:pPr>
        <w:framePr w:w="1296" w:x="6733" w:y="8427"/>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4,026.54</w:t>
      </w:r>
    </w:p>
    <w:p>
      <w:pPr>
        <w:framePr w:w="3205" w:x="8224" w:y="84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4,906,655.08</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249,586,559.19</w:t>
      </w:r>
    </w:p>
    <w:p>
      <w:pPr>
        <w:framePr w:w="3205" w:x="8224" w:y="842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3,413,460.87</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30,127,969.77</w:t>
      </w:r>
    </w:p>
    <w:p>
      <w:pPr>
        <w:framePr w:w="3205" w:x="8224" w:y="842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1,493,194.21</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219,458,589.42</w:t>
      </w:r>
    </w:p>
    <w:p>
      <w:pPr>
        <w:framePr w:w="3709" w:x="775" w:y="89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3"/>
          <w:sz w:val="21"/>
          <w:szCs w:val="22"/>
          <w:lang w:val="en-US" w:eastAsia="en-US" w:bidi="ar-SA"/>
        </w:rPr>
        <w:t>）在建工程转入</w:t>
      </w:r>
      <w:r>
        <w:rPr>
          <w:rFonts w:eastAsiaTheme="minorEastAsia" w:hAnsiTheme="minorHAnsi" w:cstheme="minorBidi"/>
          <w:color w:val="000000"/>
          <w:spacing w:val="18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157,756,747.91</w:t>
      </w:r>
    </w:p>
    <w:p>
      <w:pPr>
        <w:framePr w:w="3709" w:x="775" w:y="899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3"/>
          <w:sz w:val="21"/>
          <w:szCs w:val="22"/>
          <w:lang w:val="en-US" w:eastAsia="en-US" w:bidi="ar-SA"/>
        </w:rPr>
        <w:t>）企业合并增加</w:t>
      </w:r>
    </w:p>
    <w:p>
      <w:pPr>
        <w:framePr w:w="1296" w:x="6733" w:y="89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361,759.99</w:t>
      </w:r>
    </w:p>
    <w:p>
      <w:pPr>
        <w:framePr w:w="1824" w:x="775" w:y="95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824" w:x="775" w:y="95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）处置或报废</w:t>
      </w:r>
    </w:p>
    <w:p>
      <w:pPr>
        <w:framePr w:w="1824" w:x="775" w:y="95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）其他减少</w:t>
      </w:r>
    </w:p>
    <w:p>
      <w:pPr>
        <w:framePr w:w="1824" w:x="775" w:y="955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2981" w:y="95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2,488,599.65</w:t>
      </w:r>
    </w:p>
    <w:p>
      <w:pPr>
        <w:framePr w:w="1507" w:x="2981" w:y="955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1,873,175.90</w:t>
      </w:r>
    </w:p>
    <w:p>
      <w:pPr>
        <w:framePr w:w="1507" w:x="2981" w:y="9555"/>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615,423.75</w:t>
      </w:r>
    </w:p>
    <w:p>
      <w:pPr>
        <w:framePr w:w="1613" w:x="4717" w:y="95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12,948,342.19</w:t>
      </w:r>
    </w:p>
    <w:p>
      <w:pPr>
        <w:framePr w:w="1613" w:x="4717" w:y="955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11,431,176.92</w:t>
      </w:r>
    </w:p>
    <w:p>
      <w:pPr>
        <w:framePr w:w="1613" w:x="4717" w:y="955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1,517,165.27</w:t>
      </w:r>
    </w:p>
    <w:p>
      <w:pPr>
        <w:framePr w:w="2996" w:x="8433" w:y="95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847,010.62</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16,283,952.46</w:t>
      </w:r>
    </w:p>
    <w:p>
      <w:pPr>
        <w:framePr w:w="2996" w:x="8433" w:y="955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847,010.62</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14,151,363.44</w:t>
      </w:r>
    </w:p>
    <w:p>
      <w:pPr>
        <w:framePr w:w="2996" w:x="8433" w:y="9555"/>
        <w:widowControl w:val="0"/>
        <w:autoSpaceDE w:val="0"/>
        <w:autoSpaceDN w:val="0"/>
        <w:spacing w:before="72" w:line="211" w:lineRule="exact"/>
        <w:ind w:left="149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2,132,589.02</w:t>
      </w:r>
    </w:p>
    <w:p>
      <w:pPr>
        <w:framePr w:w="3555" w:x="2770" w:y="104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411,318,793.57</w:t>
      </w:r>
      <w:r>
        <w:rPr>
          <w:rFonts w:ascii="SimSun" w:eastAsiaTheme="minorEastAsia" w:hAnsiTheme="minorHAnsi" w:cstheme="minorBidi"/>
          <w:color w:val="000000"/>
          <w:spacing w:val="26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340,898,405.20</w:t>
      </w:r>
    </w:p>
    <w:p>
      <w:pPr>
        <w:framePr w:w="4904" w:x="6525" w:y="104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3,965,445.08</w:t>
      </w:r>
      <w:r>
        <w:rPr>
          <w:rFonts w:ascii="SimSun" w:eastAsiaTheme="minorEastAsia" w:hAnsiTheme="minorHAnsi" w:cstheme="minorBidi"/>
          <w:color w:val="000000"/>
          <w:spacing w:val="2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18,157,030.33</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774,339,674.18</w:t>
      </w:r>
    </w:p>
    <w:p>
      <w:pPr>
        <w:framePr w:w="1507" w:x="775" w:y="106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二、累计折旧</w:t>
      </w:r>
    </w:p>
    <w:p>
      <w:pPr>
        <w:framePr w:w="1507" w:x="775" w:y="1068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3450" w:x="2876"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55,028,576.09</w:t>
      </w:r>
      <w:r>
        <w:rPr>
          <w:rFonts w:ascii="SimSun" w:eastAsiaTheme="minorEastAsia" w:hAnsiTheme="minorHAnsi" w:cstheme="minorBidi"/>
          <w:color w:val="000000"/>
          <w:spacing w:val="26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139,380,065.09</w:t>
      </w:r>
    </w:p>
    <w:p>
      <w:pPr>
        <w:framePr w:w="1507" w:x="6525"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1,696,877.79</w:t>
      </w:r>
    </w:p>
    <w:p>
      <w:pPr>
        <w:framePr w:w="1507" w:x="6525" w:y="10969"/>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499,727.32</w:t>
      </w:r>
    </w:p>
    <w:p>
      <w:pPr>
        <w:framePr w:w="1507" w:x="6525" w:y="10969"/>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499,727.32</w:t>
      </w:r>
    </w:p>
    <w:p>
      <w:pPr>
        <w:framePr w:w="3205" w:x="8224"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7,617,636.26</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203,723,155.23</w:t>
      </w:r>
    </w:p>
    <w:p>
      <w:pPr>
        <w:framePr w:w="3205" w:x="8224" w:y="1096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2,522,223.37</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46,382,270.52</w:t>
      </w:r>
    </w:p>
    <w:p>
      <w:pPr>
        <w:framePr w:w="3205" w:x="8224" w:y="109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2,522,223.37</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46,382,270.52</w:t>
      </w:r>
    </w:p>
    <w:p>
      <w:pPr>
        <w:framePr w:w="3205" w:x="8224" w:y="10969"/>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765,639.78</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12,941,592.75</w:t>
      </w:r>
    </w:p>
    <w:p>
      <w:pPr>
        <w:framePr w:w="3205" w:x="8224" w:y="10969"/>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765,639.78</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11,326,941.94</w:t>
      </w:r>
    </w:p>
    <w:p>
      <w:pPr>
        <w:framePr w:w="3205" w:x="8224" w:y="10969"/>
        <w:widowControl w:val="0"/>
        <w:autoSpaceDE w:val="0"/>
        <w:autoSpaceDN w:val="0"/>
        <w:spacing w:before="73" w:line="211" w:lineRule="exact"/>
        <w:ind w:left="170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1,614,650.81</w:t>
      </w:r>
    </w:p>
    <w:p>
      <w:pPr>
        <w:framePr w:w="1718" w:x="775" w:y="112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775" w:y="112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1613" w:x="2876" w:y="112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13,954,910.26</w:t>
      </w:r>
    </w:p>
    <w:p>
      <w:pPr>
        <w:framePr w:w="1613" w:x="2876" w:y="1124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13,954,910.26</w:t>
      </w:r>
    </w:p>
    <w:p>
      <w:pPr>
        <w:framePr w:w="1613" w:x="2876" w:y="11249"/>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940,174.77</w:t>
      </w:r>
    </w:p>
    <w:p>
      <w:pPr>
        <w:framePr w:w="1613" w:x="2876" w:y="11249"/>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842,689.41</w:t>
      </w:r>
    </w:p>
    <w:p>
      <w:pPr>
        <w:framePr w:w="1613" w:x="2876" w:y="11249"/>
        <w:widowControl w:val="0"/>
        <w:autoSpaceDE w:val="0"/>
        <w:autoSpaceDN w:val="0"/>
        <w:spacing w:before="73"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97,485.36</w:t>
      </w:r>
    </w:p>
    <w:p>
      <w:pPr>
        <w:framePr w:w="1613" w:x="4717" w:y="112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29,405,409.57</w:t>
      </w:r>
    </w:p>
    <w:p>
      <w:pPr>
        <w:framePr w:w="1613" w:x="4717" w:y="1124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29,405,409.57</w:t>
      </w:r>
    </w:p>
    <w:p>
      <w:pPr>
        <w:framePr w:w="1613" w:x="4717" w:y="1124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11,235,778.20</w:t>
      </w:r>
    </w:p>
    <w:p>
      <w:pPr>
        <w:framePr w:w="1613" w:x="4717" w:y="11249"/>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9,718,612.75</w:t>
      </w:r>
    </w:p>
    <w:p>
      <w:pPr>
        <w:framePr w:w="1613" w:x="4717" w:y="11249"/>
        <w:widowControl w:val="0"/>
        <w:autoSpaceDE w:val="0"/>
        <w:autoSpaceDN w:val="0"/>
        <w:spacing w:before="7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1,517,165.45</w:t>
      </w:r>
    </w:p>
    <w:p>
      <w:pPr>
        <w:framePr w:w="1824" w:x="775" w:y="118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824" w:x="775" w:y="1181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）处置或报废</w:t>
      </w:r>
    </w:p>
    <w:p>
      <w:pPr>
        <w:framePr w:w="1824" w:x="775" w:y="11816"/>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）其他减少</w:t>
      </w:r>
    </w:p>
    <w:p>
      <w:pPr>
        <w:framePr w:w="1824" w:x="775" w:y="1181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3450" w:x="2876" w:y="126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68,043,311.58</w:t>
      </w:r>
      <w:r>
        <w:rPr>
          <w:rFonts w:ascii="SimSun" w:eastAsiaTheme="minorEastAsia" w:hAnsiTheme="minorHAnsi" w:cstheme="minorBidi"/>
          <w:color w:val="000000"/>
          <w:spacing w:val="26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157,549,696.46</w:t>
      </w:r>
    </w:p>
    <w:p>
      <w:pPr>
        <w:framePr w:w="1507" w:x="6525" w:y="126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2,196,605.11</w:t>
      </w:r>
    </w:p>
    <w:p>
      <w:pPr>
        <w:framePr w:w="3205" w:x="8224" w:y="126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9,374,219.85</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237,163,833.00</w:t>
      </w:r>
    </w:p>
    <w:p>
      <w:pPr>
        <w:framePr w:w="1507" w:x="775" w:y="129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三、减值准备</w:t>
      </w:r>
    </w:p>
    <w:p>
      <w:pPr>
        <w:framePr w:w="1507" w:x="775" w:y="129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718" w:x="775" w:y="135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775" w:y="1351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1824" w:x="775" w:y="140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824" w:x="775" w:y="1407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）处置或报废</w:t>
      </w:r>
    </w:p>
    <w:p>
      <w:pPr>
        <w:framePr w:w="1824" w:x="775" w:y="1407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775" w:y="149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四、账面价值</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34" type="#_x0000_t75" style="width:445.6pt;height:2.7pt;margin-top:53.65pt;margin-left:87.45pt;mso-position-horizontal-relative:page;mso-position-vertical-relative:page;position:absolute;z-index:-251270144">
            <v:imagedata r:id="rId250" o:title=""/>
          </v:shape>
        </w:pict>
      </w:r>
      <w:r>
        <w:rPr>
          <w:noProof/>
        </w:rPr>
        <w:pict>
          <v:shape id="_x0000_s1335" type="#_x0000_t75" style="width:454.95pt;height:58.9pt;margin-top:167.3pt;margin-left:83.25pt;mso-position-horizontal-relative:page;mso-position-vertical-relative:page;position:absolute;z-index:-251369472">
            <v:imagedata r:id="rId251" o:title=""/>
          </v:shape>
        </w:pict>
      </w:r>
      <w:r>
        <w:rPr>
          <w:noProof/>
        </w:rPr>
        <w:pict>
          <v:shape id="_x0000_s1336" type="#_x0000_t75" style="width:534.3pt;height:383.65pt;margin-top:376pt;margin-left:31.9pt;mso-position-horizontal-relative:page;mso-position-vertical-relative:page;position:absolute;z-index:-251511808">
            <v:imagedata r:id="rId252" o:title=""/>
          </v:shape>
        </w:pict>
      </w:r>
    </w:p>
    <w:p>
      <w:pPr>
        <w:spacing w:line="0" w:lineRule="atLeast"/>
        <w:rPr>
          <w:rFonts w:ascii="Arial" w:eastAsiaTheme="minorEastAsia" w:hAnsiTheme="minorHAnsi" w:cstheme="minorBidi"/>
          <w:color w:val="FF0000"/>
          <w:sz w:val="2"/>
          <w:szCs w:val="22"/>
          <w:lang w:val="en-US" w:eastAsia="en-US" w:bidi="ar-SA"/>
        </w:rPr>
      </w:pPr>
      <w:bookmarkStart w:id="144" w:name="br1_143"/>
      <w:bookmarkEnd w:id="14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718" w:x="775"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期末账面价值</w:t>
      </w:r>
    </w:p>
    <w:p>
      <w:pPr>
        <w:framePr w:w="1718" w:x="775"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期初账面价值</w:t>
      </w:r>
    </w:p>
    <w:p>
      <w:pPr>
        <w:framePr w:w="3555" w:x="2770"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343,275,481.99</w:t>
      </w:r>
      <w:r>
        <w:rPr>
          <w:rFonts w:ascii="SimSun" w:eastAsiaTheme="minorEastAsia" w:hAnsiTheme="minorHAnsi" w:cstheme="minorBidi"/>
          <w:color w:val="000000"/>
          <w:spacing w:val="26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183,348,708.74</w:t>
      </w:r>
    </w:p>
    <w:p>
      <w:pPr>
        <w:framePr w:w="3555" w:x="2770"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189,852,619.39</w:t>
      </w:r>
      <w:r>
        <w:rPr>
          <w:rFonts w:ascii="SimSun" w:eastAsiaTheme="minorEastAsia" w:hAnsiTheme="minorHAnsi" w:cstheme="minorBidi"/>
          <w:color w:val="000000"/>
          <w:spacing w:val="26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139,078,762.46</w:t>
      </w:r>
    </w:p>
    <w:p>
      <w:pPr>
        <w:framePr w:w="1507" w:x="6525"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1,768,839.97</w:t>
      </w:r>
    </w:p>
    <w:p>
      <w:pPr>
        <w:framePr w:w="1507" w:x="6525"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1,902,780.76</w:t>
      </w:r>
    </w:p>
    <w:p>
      <w:pPr>
        <w:framePr w:w="3205" w:x="8224"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8,782,810.48</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537,175,841.18</w:t>
      </w:r>
    </w:p>
    <w:p>
      <w:pPr>
        <w:framePr w:w="3205" w:x="8224"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6,479,749.61</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337,313,912.22</w:t>
      </w:r>
    </w:p>
    <w:p>
      <w:pPr>
        <w:framePr w:w="8594" w:x="2218" w:y="25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潍坊先达与中信银行股份有限公司济南分行分别签订本金为</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541.5</w:t>
      </w:r>
      <w:r>
        <w:rPr>
          <w:rFonts w:ascii="SimSun" w:hAnsi="SimSun" w:eastAsiaTheme="minorEastAsia" w:cs="SimSun"/>
          <w:color w:val="000000"/>
          <w:sz w:val="21"/>
          <w:szCs w:val="22"/>
          <w:lang w:val="en-US" w:eastAsia="en-US" w:bidi="ar-SA"/>
        </w:rPr>
        <w:t>万元人民币、</w:t>
      </w:r>
      <w:r>
        <w:rPr>
          <w:rFonts w:ascii="SimSun" w:eastAsiaTheme="minorEastAsia" w:hAnsiTheme="minorHAnsi" w:cstheme="minorBidi"/>
          <w:color w:val="000000"/>
          <w:sz w:val="21"/>
          <w:szCs w:val="22"/>
          <w:lang w:val="en-US" w:eastAsia="en-US" w:bidi="ar-SA"/>
        </w:rPr>
        <w:t>4500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万元</w:t>
      </w:r>
    </w:p>
    <w:p>
      <w:pPr>
        <w:framePr w:w="9110" w:x="1798" w:y="29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人民币的最高额抵押合同，为确保中信银行股份有限公司济南分行与济南先达在一定期限内连续</w:t>
      </w:r>
    </w:p>
    <w:p>
      <w:pPr>
        <w:framePr w:w="9110" w:x="1798" w:y="29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发生的多笔债务的发行，保障中信银行股份有限公司济南分行债权的实现，潍坊先达以其财产为</w:t>
      </w:r>
    </w:p>
    <w:p>
      <w:pPr>
        <w:framePr w:w="9110" w:x="1798" w:y="29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主合同债务人履行债务提供最高额抵押担保，截止</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日，潍坊先达抵押房产的</w:t>
      </w:r>
    </w:p>
    <w:p>
      <w:pPr>
        <w:framePr w:w="9110" w:x="1798" w:y="29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33,617,470.21</w:t>
      </w:r>
      <w:r>
        <w:rPr>
          <w:rFonts w:ascii="SimSun" w:hAnsi="SimSun" w:eastAsiaTheme="minorEastAsia" w:cs="SimSun"/>
          <w:color w:val="000000"/>
          <w:spacing w:val="1"/>
          <w:sz w:val="21"/>
          <w:szCs w:val="22"/>
          <w:lang w:val="en-US" w:eastAsia="en-US" w:bidi="ar-SA"/>
        </w:rPr>
        <w:t>元。</w:t>
      </w:r>
    </w:p>
    <w:p>
      <w:pPr>
        <w:framePr w:w="2988" w:x="1798" w:y="46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暂时闲置的固定资产情况</w:t>
      </w:r>
    </w:p>
    <w:p>
      <w:pPr>
        <w:framePr w:w="2988" w:x="1798" w:y="466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57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通过融资租赁租入的固定资产情况</w:t>
      </w:r>
    </w:p>
    <w:p>
      <w:pPr>
        <w:framePr w:w="3830" w:x="1798" w:y="572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8" w:x="1798" w:y="67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通过经营租赁租出的固定资产</w:t>
      </w:r>
    </w:p>
    <w:p>
      <w:pPr>
        <w:framePr w:w="3408" w:x="1798" w:y="678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78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(5).</w:t>
      </w:r>
      <w:r>
        <w:rPr>
          <w:rFonts w:ascii="SimSun" w:hAnsi="SimSun" w:eastAsiaTheme="minorEastAsia" w:cs="SimSun"/>
          <w:color w:val="000000"/>
          <w:spacing w:val="1"/>
          <w:sz w:val="21"/>
          <w:szCs w:val="22"/>
          <w:lang w:val="en-US" w:eastAsia="en-US" w:bidi="ar-SA"/>
        </w:rPr>
        <w:t>未办妥产权证书的固定资产情况</w:t>
      </w:r>
    </w:p>
    <w:p>
      <w:pPr>
        <w:framePr w:w="1817" w:x="1798" w:y="83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86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507" w:x="2532" w:y="892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2532" w:y="892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房屋及建筑物</w:t>
      </w:r>
    </w:p>
    <w:p>
      <w:pPr>
        <w:framePr w:w="1507" w:x="2532" w:y="8921"/>
        <w:widowControl w:val="0"/>
        <w:autoSpaceDE w:val="0"/>
        <w:autoSpaceDN w:val="0"/>
        <w:spacing w:before="7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076" w:x="5739" w:y="89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2076" w:x="5739" w:y="8921"/>
        <w:widowControl w:val="0"/>
        <w:autoSpaceDE w:val="0"/>
        <w:autoSpaceDN w:val="0"/>
        <w:spacing w:before="72" w:line="211" w:lineRule="exact"/>
        <w:ind w:left="36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152,330,039.11</w:t>
      </w:r>
    </w:p>
    <w:p>
      <w:pPr>
        <w:framePr w:w="2352" w:x="8161" w:y="89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未办妥产权证书的原因</w:t>
      </w:r>
    </w:p>
    <w:p>
      <w:pPr>
        <w:framePr w:w="2563" w:x="8056" w:y="92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产权证书正在办理过程中</w:t>
      </w:r>
    </w:p>
    <w:p>
      <w:pPr>
        <w:framePr w:w="1718" w:x="6102" w:y="94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152,330,039.11</w:t>
      </w:r>
    </w:p>
    <w:p>
      <w:pPr>
        <w:framePr w:w="1296" w:x="1798" w:y="98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04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041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固定资产清理</w:t>
      </w:r>
    </w:p>
    <w:p>
      <w:pPr>
        <w:framePr w:w="1817" w:x="1798" w:y="10417"/>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041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在建工程</w:t>
      </w:r>
    </w:p>
    <w:p>
      <w:pPr>
        <w:framePr w:w="1817" w:x="1798" w:y="1041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130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3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333"/>
        <w:widowControl w:val="0"/>
        <w:autoSpaceDE w:val="0"/>
        <w:autoSpaceDN w:val="0"/>
        <w:spacing w:before="70" w:line="211" w:lineRule="exact"/>
        <w:ind w:left="54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072" w:y="136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5929" w:y="136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1798" w:y="138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085" w:x="1798" w:y="1389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工程物资</w:t>
      </w:r>
    </w:p>
    <w:p>
      <w:pPr>
        <w:framePr w:w="1718" w:x="6234" w:y="138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239,121,267.14</w:t>
      </w:r>
    </w:p>
    <w:p>
      <w:pPr>
        <w:framePr w:w="1718" w:x="6234" w:y="1389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22,090,083.50</w:t>
      </w:r>
    </w:p>
    <w:p>
      <w:pPr>
        <w:framePr w:w="1718" w:x="6234" w:y="1389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261,211,350.64</w:t>
      </w:r>
    </w:p>
    <w:p>
      <w:pPr>
        <w:framePr w:w="1718" w:x="9160" w:y="138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356,621,082.20</w:t>
      </w:r>
    </w:p>
    <w:p>
      <w:pPr>
        <w:framePr w:w="1718" w:x="9160" w:y="1389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18,168,031.13</w:t>
      </w:r>
    </w:p>
    <w:p>
      <w:pPr>
        <w:framePr w:w="1718" w:x="9160" w:y="1389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374,789,113.33</w:t>
      </w:r>
    </w:p>
    <w:p>
      <w:pPr>
        <w:framePr w:w="662" w:x="3072" w:y="14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14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37" type="#_x0000_t75" style="width:445.6pt;height:2.7pt;margin-top:53.65pt;margin-left:87.45pt;mso-position-horizontal-relative:page;mso-position-vertical-relative:page;position:absolute;z-index:-251207680">
            <v:imagedata r:id="rId253" o:title=""/>
          </v:shape>
        </w:pict>
      </w:r>
      <w:r>
        <w:rPr>
          <w:noProof/>
        </w:rPr>
        <w:pict>
          <v:shape id="_x0000_s1338" type="#_x0000_t75" style="width:534.3pt;height:30.8pt;margin-top:74.3pt;margin-left:31.9pt;mso-position-horizontal-relative:page;mso-position-vertical-relative:page;position:absolute;z-index:-251269120">
            <v:imagedata r:id="rId254" o:title=""/>
          </v:shape>
        </w:pict>
      </w:r>
      <w:r>
        <w:rPr>
          <w:noProof/>
        </w:rPr>
        <w:pict>
          <v:shape id="_x0000_s1339" type="#_x0000_t75" style="width:454.95pt;height:44.85pt;margin-top:443.1pt;margin-left:83.25pt;mso-position-horizontal-relative:page;mso-position-vertical-relative:page;position:absolute;z-index:-251368448">
            <v:imagedata r:id="rId255" o:title=""/>
          </v:shape>
        </w:pict>
      </w:r>
      <w:r>
        <w:rPr>
          <w:noProof/>
        </w:rPr>
        <w:pict>
          <v:shape id="_x0000_s1340" type="#_x0000_t75" style="width:455.55pt;height:59pt;margin-top:677.75pt;margin-left:83pt;mso-position-horizontal-relative:page;mso-position-vertical-relative:page;position:absolute;z-index:-251510784">
            <v:imagedata r:id="rId256" o:title=""/>
          </v:shape>
        </w:pict>
      </w:r>
    </w:p>
    <w:p>
      <w:pPr>
        <w:spacing w:line="0" w:lineRule="atLeast"/>
        <w:rPr>
          <w:rFonts w:ascii="Arial" w:eastAsiaTheme="minorEastAsia" w:hAnsiTheme="minorHAnsi" w:cstheme="minorBidi"/>
          <w:color w:val="FF0000"/>
          <w:sz w:val="2"/>
          <w:szCs w:val="22"/>
          <w:lang w:val="en-US" w:eastAsia="en-US" w:bidi="ar-SA"/>
        </w:rPr>
      </w:pPr>
      <w:bookmarkStart w:id="145" w:name="br1_144"/>
      <w:bookmarkEnd w:id="14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8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在建工程</w:t>
      </w:r>
    </w:p>
    <w:p>
      <w:pPr>
        <w:framePr w:w="1934"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在建工程情况</w:t>
      </w:r>
    </w:p>
    <w:p>
      <w:pPr>
        <w:framePr w:w="1817" w:x="1798" w:y="29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1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3199"/>
        <w:widowControl w:val="0"/>
        <w:autoSpaceDE w:val="0"/>
        <w:autoSpaceDN w:val="0"/>
        <w:spacing w:before="70" w:line="211" w:lineRule="exact"/>
        <w:ind w:left="64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4566" w:y="34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4566" w:y="348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662" w:x="1376" w:y="36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3891" w:x="487" w:y="3763"/>
        <w:widowControl w:val="0"/>
        <w:autoSpaceDE w:val="0"/>
        <w:autoSpaceDN w:val="0"/>
        <w:spacing w:line="211" w:lineRule="exact"/>
        <w:ind w:left="266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3891" w:x="487" w:y="37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4"/>
          <w:sz w:val="21"/>
          <w:szCs w:val="22"/>
          <w:lang w:val="en-US" w:eastAsia="en-US" w:bidi="ar-SA"/>
        </w:rPr>
        <w:t>“年产</w:t>
      </w:r>
      <w:r>
        <w:rPr>
          <w:rFonts w:eastAsiaTheme="minorEastAsia" w:hAnsiTheme="minorHAnsi" w:cstheme="minorBidi"/>
          <w:color w:val="000000"/>
          <w:spacing w:val="5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6000</w:t>
      </w:r>
      <w:r>
        <w:rPr>
          <w:rFonts w:ascii="SimSun" w:eastAsiaTheme="minorEastAsia" w:hAnsiTheme="minorHAnsi" w:cstheme="minorBidi"/>
          <w:color w:val="000000"/>
          <w:spacing w:val="10"/>
          <w:sz w:val="21"/>
          <w:szCs w:val="22"/>
          <w:lang w:val="en-US" w:eastAsia="en-US" w:bidi="ar-SA"/>
        </w:rPr>
        <w:t xml:space="preserve"> </w:t>
      </w:r>
      <w:r>
        <w:rPr>
          <w:rFonts w:ascii="SimSun" w:hAnsi="SimSun" w:eastAsiaTheme="minorEastAsia" w:cs="SimSun"/>
          <w:color w:val="000000"/>
          <w:spacing w:val="14"/>
          <w:sz w:val="21"/>
          <w:szCs w:val="22"/>
          <w:lang w:val="en-US" w:eastAsia="en-US" w:bidi="ar-SA"/>
        </w:rPr>
        <w:t>吨原药、</w:t>
      </w:r>
      <w:r>
        <w:rPr>
          <w:rFonts w:eastAsiaTheme="minorEastAsia" w:hAnsiTheme="minorHAnsi" w:cstheme="minorBidi"/>
          <w:color w:val="000000"/>
          <w:spacing w:val="23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164,442,308</w:t>
      </w:r>
    </w:p>
    <w:p>
      <w:pPr>
        <w:framePr w:w="3891" w:x="487" w:y="3763"/>
        <w:widowControl w:val="0"/>
        <w:autoSpaceDE w:val="0"/>
        <w:autoSpaceDN w:val="0"/>
        <w:spacing w:before="6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z w:val="21"/>
          <w:szCs w:val="22"/>
          <w:lang w:val="en-US" w:eastAsia="en-US" w:bidi="ar-SA"/>
        </w:rPr>
        <w:t>吨制剂”项目</w:t>
      </w:r>
      <w:r>
        <w:rPr>
          <w:rFonts w:eastAsiaTheme="minorEastAsia" w:hAnsiTheme="minorHAnsi" w:cstheme="minorBidi"/>
          <w:color w:val="000000"/>
          <w:spacing w:val="144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.54</w:t>
      </w:r>
    </w:p>
    <w:p>
      <w:pPr>
        <w:framePr w:w="3891" w:x="487" w:y="37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“年产</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z w:val="21"/>
          <w:szCs w:val="22"/>
          <w:lang w:val="en-US" w:eastAsia="en-US" w:bidi="ar-SA"/>
        </w:rPr>
        <w:t>吨烯草酮原</w:t>
      </w:r>
      <w:r>
        <w:rPr>
          <w:rFonts w:eastAsiaTheme="minorEastAsia" w:hAnsiTheme="minorHAnsi" w:cstheme="minorBidi"/>
          <w:color w:val="000000"/>
          <w:spacing w:val="2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54,038,449.</w:t>
      </w:r>
    </w:p>
    <w:p>
      <w:pPr>
        <w:framePr w:w="1085" w:x="5984" w:y="37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7545" w:y="37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8964" w:y="37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1085" w:x="10382" w:y="37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3137" w:x="5742" w:y="40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164,442,308.</w:t>
      </w:r>
      <w:r>
        <w:rPr>
          <w:rFonts w:ascii="SimSun"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320,172,135.</w:t>
      </w:r>
    </w:p>
    <w:p>
      <w:pPr>
        <w:framePr w:w="1507" w:x="10214" w:y="40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320,172,135.</w:t>
      </w:r>
    </w:p>
    <w:p>
      <w:pPr>
        <w:framePr w:w="451" w:x="6791" w:y="43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w:t>
      </w:r>
    </w:p>
    <w:p>
      <w:pPr>
        <w:framePr w:w="451" w:x="8425" w:y="43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85</w:t>
      </w:r>
    </w:p>
    <w:p>
      <w:pPr>
        <w:framePr w:w="1507" w:x="10214" w:y="4317"/>
        <w:widowControl w:val="0"/>
        <w:autoSpaceDE w:val="0"/>
        <w:autoSpaceDN w:val="0"/>
        <w:spacing w:line="211" w:lineRule="exact"/>
        <w:ind w:left="104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85</w:t>
      </w:r>
    </w:p>
    <w:p>
      <w:pPr>
        <w:framePr w:w="1507" w:x="10214" w:y="431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33,031,678.3</w:t>
      </w:r>
    </w:p>
    <w:p>
      <w:pPr>
        <w:framePr w:w="1507" w:x="10214" w:y="4317"/>
        <w:widowControl w:val="0"/>
        <w:autoSpaceDE w:val="0"/>
        <w:autoSpaceDN w:val="0"/>
        <w:spacing w:before="60" w:line="211" w:lineRule="exact"/>
        <w:ind w:left="115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3137" w:x="5742" w:y="46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54,038,449.6</w:t>
      </w:r>
      <w:r>
        <w:rPr>
          <w:rFonts w:ascii="SimSun"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33,031,678.3</w:t>
      </w:r>
    </w:p>
    <w:p>
      <w:pPr>
        <w:framePr w:w="2438" w:x="487" w:y="48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4"/>
          <w:sz w:val="21"/>
          <w:szCs w:val="22"/>
          <w:lang w:val="en-US" w:eastAsia="en-US" w:bidi="ar-SA"/>
        </w:rPr>
        <w:t>药、</w:t>
      </w:r>
      <w:r>
        <w:rPr>
          <w:rFonts w:ascii="SimSun" w:eastAsiaTheme="minorEastAsia" w:hAnsiTheme="minorHAnsi" w:cstheme="minorBidi"/>
          <w:color w:val="000000"/>
          <w:sz w:val="21"/>
          <w:szCs w:val="22"/>
          <w:lang w:val="en-US" w:eastAsia="en-US" w:bidi="ar-SA"/>
        </w:rPr>
        <w:t>10000</w:t>
      </w:r>
      <w:r>
        <w:rPr>
          <w:rFonts w:ascii="SimSun" w:eastAsiaTheme="minorEastAsia" w:hAnsiTheme="minorHAnsi" w:cstheme="minorBidi"/>
          <w:color w:val="000000"/>
          <w:spacing w:val="14"/>
          <w:sz w:val="21"/>
          <w:szCs w:val="22"/>
          <w:lang w:val="en-US" w:eastAsia="en-US" w:bidi="ar-SA"/>
        </w:rPr>
        <w:t xml:space="preserve"> </w:t>
      </w:r>
      <w:r>
        <w:rPr>
          <w:rFonts w:ascii="SimSun" w:hAnsi="SimSun" w:eastAsiaTheme="minorEastAsia" w:cs="SimSun"/>
          <w:color w:val="000000"/>
          <w:spacing w:val="14"/>
          <w:sz w:val="21"/>
          <w:szCs w:val="22"/>
          <w:lang w:val="en-US" w:eastAsia="en-US" w:bidi="ar-SA"/>
        </w:rPr>
        <w:t>吨硫化碱和</w:t>
      </w:r>
    </w:p>
    <w:p>
      <w:pPr>
        <w:framePr w:w="2438" w:x="487" w:y="487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9000</w:t>
      </w:r>
      <w:r>
        <w:rPr>
          <w:rFonts w:ascii="SimSun" w:hAnsi="SimSun" w:eastAsiaTheme="minorEastAsia" w:cs="SimSun"/>
          <w:color w:val="000000"/>
          <w:sz w:val="21"/>
          <w:szCs w:val="22"/>
          <w:lang w:val="en-US" w:eastAsia="en-US" w:bidi="ar-SA"/>
        </w:rPr>
        <w:t>吨熔融盐”项目</w:t>
      </w:r>
    </w:p>
    <w:p>
      <w:pPr>
        <w:framePr w:w="451" w:x="3925" w:y="48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68</w:t>
      </w:r>
    </w:p>
    <w:p>
      <w:pPr>
        <w:framePr w:w="346" w:x="6897" w:y="48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w:t>
      </w:r>
    </w:p>
    <w:p>
      <w:pPr>
        <w:framePr w:w="346" w:x="8531" w:y="48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2703" w:x="2981" w:y="54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5,613,540.0</w:t>
      </w:r>
      <w:r>
        <w:rPr>
          <w:rFonts w:ascii="SimSun" w:eastAsiaTheme="minorEastAsia" w:hAnsiTheme="minorHAnsi" w:cstheme="minorBidi"/>
          <w:color w:val="000000"/>
          <w:spacing w:val="2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5,613,540</w:t>
      </w:r>
    </w:p>
    <w:p>
      <w:pPr>
        <w:framePr w:w="2703" w:x="2981" w:y="5427"/>
        <w:widowControl w:val="0"/>
        <w:autoSpaceDE w:val="0"/>
        <w:autoSpaceDN w:val="0"/>
        <w:spacing w:before="62" w:line="211" w:lineRule="exact"/>
        <w:ind w:left="214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4340" w:x="7377" w:y="54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5,613,540.00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2,717,920.</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2,895,620.00</w:t>
      </w:r>
    </w:p>
    <w:p>
      <w:pPr>
        <w:framePr w:w="1085" w:x="487" w:y="55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潍坊新厂</w:t>
      </w:r>
    </w:p>
    <w:p>
      <w:pPr>
        <w:framePr w:w="346" w:x="4031" w:y="57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451" w:x="9703" w:y="57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2352" w:x="487" w:y="59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潍坊新厂烯酰吗啉项目</w:t>
      </w:r>
    </w:p>
    <w:p>
      <w:pPr>
        <w:framePr w:w="2352" w:x="487" w:y="5983"/>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生化系统技术改造项目</w:t>
      </w:r>
    </w:p>
    <w:p>
      <w:pPr>
        <w:framePr w:w="2494" w:x="3190" w:y="59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r>
        <w:rPr>
          <w:rFonts w:ascii="SimSun" w:eastAsiaTheme="minorEastAsia" w:hAnsiTheme="minorHAnsi" w:cstheme="minorBidi"/>
          <w:color w:val="000000"/>
          <w:spacing w:val="25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50,000.00</w:t>
      </w:r>
    </w:p>
    <w:p>
      <w:pPr>
        <w:framePr w:w="2465" w:x="7691" w:y="59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r>
        <w:rPr>
          <w:rFonts w:ascii="SimSun" w:eastAsiaTheme="minorEastAsia" w:hAnsiTheme="minorHAnsi" w:cstheme="minorBidi"/>
          <w:color w:val="000000"/>
          <w:spacing w:val="22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50,000.00</w:t>
      </w:r>
    </w:p>
    <w:p>
      <w:pPr>
        <w:framePr w:w="1402" w:x="2981" w:y="62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8,102,614.1</w:t>
      </w:r>
    </w:p>
    <w:p>
      <w:pPr>
        <w:framePr w:w="1402" w:x="2981" w:y="6264"/>
        <w:widowControl w:val="0"/>
        <w:autoSpaceDE w:val="0"/>
        <w:autoSpaceDN w:val="0"/>
        <w:spacing w:before="62" w:line="211" w:lineRule="exact"/>
        <w:ind w:left="104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1507" w:x="5742" w:y="62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8,102,614.15</w:t>
      </w:r>
    </w:p>
    <w:p>
      <w:pPr>
        <w:framePr w:w="1296" w:x="7585" w:y="62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194,174.76</w:t>
      </w:r>
    </w:p>
    <w:p>
      <w:pPr>
        <w:framePr w:w="1296" w:x="7585" w:y="6264"/>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30,852.37</w:t>
      </w:r>
    </w:p>
    <w:p>
      <w:pPr>
        <w:framePr w:w="1296" w:x="7585" w:y="6264"/>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90,208.95</w:t>
      </w:r>
    </w:p>
    <w:p>
      <w:pPr>
        <w:framePr w:w="1296" w:x="7585" w:y="6264"/>
        <w:widowControl w:val="0"/>
        <w:autoSpaceDE w:val="0"/>
        <w:autoSpaceDN w:val="0"/>
        <w:spacing w:before="34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206,411.95</w:t>
      </w:r>
    </w:p>
    <w:p>
      <w:pPr>
        <w:framePr w:w="1296" w:x="10423" w:y="62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194,174.76</w:t>
      </w:r>
    </w:p>
    <w:p>
      <w:pPr>
        <w:framePr w:w="1296" w:x="10423" w:y="6264"/>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30,852.37</w:t>
      </w:r>
    </w:p>
    <w:p>
      <w:pPr>
        <w:framePr w:w="1296" w:x="10423" w:y="6264"/>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90,208.95</w:t>
      </w:r>
    </w:p>
    <w:p>
      <w:pPr>
        <w:framePr w:w="1296" w:x="10423" w:y="6264"/>
        <w:widowControl w:val="0"/>
        <w:autoSpaceDE w:val="0"/>
        <w:autoSpaceDN w:val="0"/>
        <w:spacing w:before="34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206,411.95</w:t>
      </w:r>
    </w:p>
    <w:p>
      <w:pPr>
        <w:framePr w:w="2439" w:x="487" w:y="6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烯草酮车间</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VOCs</w:t>
      </w:r>
      <w:r>
        <w:rPr>
          <w:rFonts w:ascii="SimSun" w:hAnsi="SimSun" w:eastAsiaTheme="minorEastAsia" w:cs="SimSun"/>
          <w:color w:val="000000"/>
          <w:sz w:val="21"/>
          <w:szCs w:val="22"/>
          <w:lang w:val="en-US" w:eastAsia="en-US" w:bidi="ar-SA"/>
        </w:rPr>
        <w:t>处理装</w:t>
      </w:r>
    </w:p>
    <w:p>
      <w:pPr>
        <w:framePr w:w="2439" w:x="487" w:y="681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置</w:t>
      </w:r>
    </w:p>
    <w:p>
      <w:pPr>
        <w:framePr w:w="2437" w:x="487" w:y="7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RTO</w:t>
      </w:r>
      <w:r>
        <w:rPr>
          <w:rFonts w:ascii="SimSun" w:eastAsiaTheme="minorEastAsia" w:hAnsiTheme="minorHAnsi" w:cstheme="minorBidi"/>
          <w:color w:val="000000"/>
          <w:spacing w:val="10"/>
          <w:sz w:val="21"/>
          <w:szCs w:val="22"/>
          <w:lang w:val="en-US" w:eastAsia="en-US" w:bidi="ar-SA"/>
        </w:rPr>
        <w:t xml:space="preserve"> </w:t>
      </w:r>
      <w:r>
        <w:rPr>
          <w:rFonts w:ascii="SimSun" w:hAnsi="SimSun" w:eastAsiaTheme="minorEastAsia" w:cs="SimSun"/>
          <w:color w:val="000000"/>
          <w:spacing w:val="12"/>
          <w:sz w:val="21"/>
          <w:szCs w:val="22"/>
          <w:lang w:val="en-US" w:eastAsia="en-US" w:bidi="ar-SA"/>
        </w:rPr>
        <w:t>排气筒在线监测仪</w:t>
      </w:r>
    </w:p>
    <w:p>
      <w:pPr>
        <w:framePr w:w="2437" w:x="487" w:y="7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监测台施工</w:t>
      </w:r>
    </w:p>
    <w:p>
      <w:pPr>
        <w:framePr w:w="1402" w:x="2981" w:y="79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12,049,500.</w:t>
      </w:r>
    </w:p>
    <w:p>
      <w:pPr>
        <w:framePr w:w="1402" w:x="2981" w:y="7930"/>
        <w:widowControl w:val="0"/>
        <w:autoSpaceDE w:val="0"/>
        <w:autoSpaceDN w:val="0"/>
        <w:spacing w:before="60" w:line="211" w:lineRule="exact"/>
        <w:ind w:left="94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81</w:t>
      </w:r>
    </w:p>
    <w:p>
      <w:pPr>
        <w:framePr w:w="1507" w:x="5742" w:y="79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12,049,500.8</w:t>
      </w:r>
    </w:p>
    <w:p>
      <w:pPr>
        <w:framePr w:w="1507" w:x="5742" w:y="7930"/>
        <w:widowControl w:val="0"/>
        <w:autoSpaceDE w:val="0"/>
        <w:autoSpaceDN w:val="0"/>
        <w:spacing w:before="60" w:line="211" w:lineRule="exact"/>
        <w:ind w:left="115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1507" w:x="487" w:y="8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沈阳万菱工程</w:t>
      </w:r>
    </w:p>
    <w:p>
      <w:pPr>
        <w:framePr w:w="2439" w:x="487" w:y="84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“年产</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z w:val="21"/>
          <w:szCs w:val="22"/>
          <w:lang w:val="en-US" w:eastAsia="en-US" w:bidi="ar-SA"/>
        </w:rPr>
        <w:t>吨高端综合</w:t>
      </w:r>
    </w:p>
    <w:p>
      <w:pPr>
        <w:framePr w:w="2439" w:x="487" w:y="848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智能制剂车间”项目</w:t>
      </w:r>
    </w:p>
    <w:p>
      <w:pPr>
        <w:framePr w:w="2439" w:x="487" w:y="848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环保监控系统</w:t>
      </w:r>
    </w:p>
    <w:p>
      <w:pPr>
        <w:framePr w:w="1296" w:x="3084" w:y="84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472,968.22</w:t>
      </w:r>
    </w:p>
    <w:p>
      <w:pPr>
        <w:framePr w:w="1296" w:x="5951" w:y="84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472,968.22</w:t>
      </w:r>
    </w:p>
    <w:p>
      <w:pPr>
        <w:framePr w:w="1190" w:x="3190" w:y="90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15,425.74</w:t>
      </w:r>
    </w:p>
    <w:p>
      <w:pPr>
        <w:framePr w:w="1190" w:x="6056" w:y="90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15,425.74</w:t>
      </w:r>
    </w:p>
    <w:p>
      <w:pPr>
        <w:framePr w:w="8735" w:x="2981" w:y="93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244,784,807</w:t>
      </w:r>
      <w:r>
        <w:rPr>
          <w:rFonts w:ascii="SimSun" w:eastAsiaTheme="minorEastAsia" w:hAnsiTheme="minorHAnsi" w:cstheme="minorBidi"/>
          <w:color w:val="000000"/>
          <w:spacing w:val="2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5,663,540</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239,121,267.</w:t>
      </w:r>
      <w:r>
        <w:rPr>
          <w:rFonts w:ascii="SimSun"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359,389,002.</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2,767,920.</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356,621,082.</w:t>
      </w:r>
    </w:p>
    <w:p>
      <w:pPr>
        <w:framePr w:w="662" w:x="1376" w:y="9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557" w:x="3822" w:y="95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w:t>
      </w:r>
    </w:p>
    <w:p>
      <w:pPr>
        <w:framePr w:w="557" w:x="5127" w:y="95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451" w:x="6791" w:y="95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w:t>
      </w:r>
    </w:p>
    <w:p>
      <w:pPr>
        <w:framePr w:w="451" w:x="8425" w:y="95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451" w:x="9703" w:y="95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451" w:x="11263" w:y="95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3619" w:x="1798" w:y="9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重要在建工程项目本期变动情况</w:t>
      </w:r>
    </w:p>
    <w:p>
      <w:pPr>
        <w:framePr w:w="1817" w:x="1798" w:y="102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63" w:x="8109" w:y="105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单位：万元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763" w:x="8109" w:y="10542"/>
        <w:widowControl w:val="0"/>
        <w:autoSpaceDE w:val="0"/>
        <w:autoSpaceDN w:val="0"/>
        <w:spacing w:before="70" w:line="211" w:lineRule="exact"/>
        <w:ind w:left="159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w:t>
      </w:r>
    </w:p>
    <w:p>
      <w:pPr>
        <w:framePr w:w="874" w:x="7578" w:y="110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工程累</w:t>
      </w:r>
    </w:p>
    <w:p>
      <w:pPr>
        <w:framePr w:w="2081" w:x="8889" w:y="110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利息</w:t>
      </w:r>
      <w:r>
        <w:rPr>
          <w:rFonts w:eastAsiaTheme="minorEastAsia" w:hAnsiTheme="minorHAnsi" w:cstheme="minorBidi"/>
          <w:color w:val="000000"/>
          <w:spacing w:val="236"/>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中：</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w:t>
      </w:r>
    </w:p>
    <w:p>
      <w:pPr>
        <w:framePr w:w="2081" w:x="8889" w:y="1109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资本</w:t>
      </w:r>
      <w:r>
        <w:rPr>
          <w:rFonts w:eastAsiaTheme="minorEastAsia" w:hAnsiTheme="minorHAnsi" w:cstheme="minorBidi"/>
          <w:color w:val="000000"/>
          <w:spacing w:val="23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利息</w:t>
      </w:r>
    </w:p>
    <w:p>
      <w:pPr>
        <w:framePr w:w="2081" w:x="8889" w:y="1109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化累</w:t>
      </w:r>
      <w:r>
        <w:rPr>
          <w:rFonts w:eastAsiaTheme="minorEastAsia" w:hAnsiTheme="minorHAnsi" w:cstheme="minorBidi"/>
          <w:color w:val="000000"/>
          <w:spacing w:val="23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利息</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资本</w:t>
      </w:r>
    </w:p>
    <w:p>
      <w:pPr>
        <w:framePr w:w="2081" w:x="8889" w:y="1109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计金</w:t>
      </w:r>
      <w:r>
        <w:rPr>
          <w:rFonts w:eastAsiaTheme="minorEastAsia" w:hAnsiTheme="minorHAnsi" w:cstheme="minorBidi"/>
          <w:color w:val="000000"/>
          <w:spacing w:val="23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资本</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化率</w:t>
      </w:r>
    </w:p>
    <w:p>
      <w:pPr>
        <w:framePr w:w="874" w:x="4777" w:y="11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本期转</w:t>
      </w:r>
    </w:p>
    <w:p>
      <w:pPr>
        <w:framePr w:w="662" w:x="5804" w:y="11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w:t>
      </w:r>
    </w:p>
    <w:p>
      <w:pPr>
        <w:framePr w:w="662" w:x="5804" w:y="1123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5804" w:y="1123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p>
    <w:p>
      <w:pPr>
        <w:framePr w:w="662" w:x="5804" w:y="1123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451" w:x="8428" w:y="11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w:t>
      </w:r>
    </w:p>
    <w:p>
      <w:pPr>
        <w:framePr w:w="451" w:x="8428" w:y="1123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程</w:t>
      </w:r>
    </w:p>
    <w:p>
      <w:pPr>
        <w:framePr w:w="451" w:x="8428" w:y="1123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进</w:t>
      </w:r>
    </w:p>
    <w:p>
      <w:pPr>
        <w:framePr w:w="451" w:x="8428" w:y="1123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w:t>
      </w:r>
    </w:p>
    <w:p>
      <w:pPr>
        <w:framePr w:w="662" w:x="3944" w:y="113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w:t>
      </w:r>
    </w:p>
    <w:p>
      <w:pPr>
        <w:framePr w:w="662" w:x="3944" w:y="1136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增加</w:t>
      </w:r>
    </w:p>
    <w:p>
      <w:pPr>
        <w:framePr w:w="662" w:x="3944" w:y="1136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874" w:x="7578" w:y="113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计投入</w:t>
      </w:r>
    </w:p>
    <w:p>
      <w:pPr>
        <w:framePr w:w="874" w:x="7578" w:y="1136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占预算</w:t>
      </w:r>
    </w:p>
    <w:p>
      <w:pPr>
        <w:framePr w:w="874" w:x="7578" w:y="11367"/>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2240" w:y="11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预算</w:t>
      </w:r>
    </w:p>
    <w:p>
      <w:pPr>
        <w:framePr w:w="662" w:x="2240" w:y="11504"/>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framePr w:w="662" w:x="3092" w:y="11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期初</w:t>
      </w:r>
    </w:p>
    <w:p>
      <w:pPr>
        <w:framePr w:w="662" w:x="3092" w:y="1150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余额</w:t>
      </w:r>
    </w:p>
    <w:p>
      <w:pPr>
        <w:framePr w:w="874" w:x="4777" w:y="11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入固定</w:t>
      </w:r>
    </w:p>
    <w:p>
      <w:pPr>
        <w:framePr w:w="874" w:x="4777" w:y="1150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资产金</w:t>
      </w:r>
    </w:p>
    <w:p>
      <w:pPr>
        <w:framePr w:w="874" w:x="4777" w:y="11504"/>
        <w:widowControl w:val="0"/>
        <w:autoSpaceDE w:val="0"/>
        <w:autoSpaceDN w:val="0"/>
        <w:spacing w:before="6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662" w:x="6762" w:y="11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期末</w:t>
      </w:r>
    </w:p>
    <w:p>
      <w:pPr>
        <w:framePr w:w="662" w:x="6762" w:y="1150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余额</w:t>
      </w:r>
    </w:p>
    <w:p>
      <w:pPr>
        <w:framePr w:w="874" w:x="10977" w:y="11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资金来</w:t>
      </w:r>
    </w:p>
    <w:p>
      <w:pPr>
        <w:framePr w:w="874" w:x="10977" w:y="11504"/>
        <w:widowControl w:val="0"/>
        <w:autoSpaceDE w:val="0"/>
        <w:autoSpaceDN w:val="0"/>
        <w:spacing w:before="6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源</w:t>
      </w:r>
    </w:p>
    <w:p>
      <w:pPr>
        <w:framePr w:w="1085" w:x="684" w:y="11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项目名称</w:t>
      </w:r>
    </w:p>
    <w:p>
      <w:pPr>
        <w:framePr w:w="557" w:x="7737" w:y="121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451" w:x="8995" w:y="121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1318" w:x="9600" w:y="121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化金</w:t>
      </w:r>
      <w:r>
        <w:rPr>
          <w:rFonts w:eastAsiaTheme="minorEastAsia" w:hAnsiTheme="minorHAnsi" w:cstheme="minorBidi"/>
          <w:color w:val="000000"/>
          <w:spacing w:val="28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w:t>
      </w:r>
    </w:p>
    <w:p>
      <w:pPr>
        <w:framePr w:w="451" w:x="9703" w:y="12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1661" w:x="346" w:y="127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6000</w:t>
      </w:r>
      <w:r>
        <w:rPr>
          <w:rFonts w:ascii="SimSun" w:hAnsi="SimSun" w:eastAsiaTheme="minorEastAsia" w:cs="SimSun"/>
          <w:color w:val="000000"/>
          <w:sz w:val="21"/>
          <w:szCs w:val="22"/>
          <w:lang w:val="en-US" w:eastAsia="en-US" w:bidi="ar-SA"/>
        </w:rPr>
        <w:t>吨</w:t>
      </w:r>
    </w:p>
    <w:p>
      <w:pPr>
        <w:framePr w:w="1661" w:x="346" w:y="1274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原药、</w:t>
      </w: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z w:val="21"/>
          <w:szCs w:val="22"/>
          <w:lang w:val="en-US" w:eastAsia="en-US" w:bidi="ar-SA"/>
        </w:rPr>
        <w:t>吨</w:t>
      </w:r>
    </w:p>
    <w:p>
      <w:pPr>
        <w:framePr w:w="1661" w:x="346" w:y="1274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制剂”项目</w:t>
      </w:r>
    </w:p>
    <w:p>
      <w:pPr>
        <w:framePr w:w="3497" w:x="2189" w:y="127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58,60</w:t>
      </w:r>
      <w:r>
        <w:rPr>
          <w:rFonts w:ascii="SimSun" w:eastAsiaTheme="minorEastAsia" w:hAnsiTheme="minorHAnsi" w:cstheme="minorBidi"/>
          <w:color w:val="000000"/>
          <w:spacing w:val="21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32,017</w:t>
      </w:r>
      <w:r>
        <w:rPr>
          <w:rFonts w:ascii="SimSun" w:eastAsiaTheme="minorEastAsia" w:hAnsiTheme="minorHAnsi" w:cstheme="minorBidi"/>
          <w:color w:val="000000"/>
          <w:spacing w:val="14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6,353</w:t>
      </w:r>
      <w:r>
        <w:rPr>
          <w:rFonts w:ascii="SimSun" w:eastAsiaTheme="minorEastAsia" w:hAnsiTheme="minorHAnsi" w:cstheme="minorBidi"/>
          <w:color w:val="000000"/>
          <w:spacing w:val="25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21,925</w:t>
      </w:r>
    </w:p>
    <w:p>
      <w:pPr>
        <w:framePr w:w="3497" w:x="2189" w:y="12740"/>
        <w:widowControl w:val="0"/>
        <w:autoSpaceDE w:val="0"/>
        <w:autoSpaceDN w:val="0"/>
        <w:spacing w:before="6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4.72</w:t>
      </w:r>
      <w:r>
        <w:rPr>
          <w:rFonts w:ascii="SimSun" w:eastAsiaTheme="minorEastAsia" w:hAnsiTheme="minorHAnsi" w:cstheme="minorBidi"/>
          <w:color w:val="000000"/>
          <w:spacing w:val="53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.21</w:t>
      </w:r>
      <w:r>
        <w:rPr>
          <w:rFonts w:ascii="SimSun" w:eastAsiaTheme="minorEastAsia" w:hAnsiTheme="minorHAnsi" w:cstheme="minorBidi"/>
          <w:color w:val="000000"/>
          <w:spacing w:val="35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.00</w:t>
      </w:r>
      <w:r>
        <w:rPr>
          <w:rFonts w:ascii="SimSun" w:eastAsiaTheme="minorEastAsia" w:hAnsiTheme="minorHAnsi" w:cstheme="minorBidi"/>
          <w:color w:val="000000"/>
          <w:spacing w:val="56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.98</w:t>
      </w:r>
    </w:p>
    <w:p>
      <w:pPr>
        <w:framePr w:w="979" w:x="6625" w:y="127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16,444.</w:t>
      </w:r>
    </w:p>
    <w:p>
      <w:pPr>
        <w:framePr w:w="979" w:x="6625" w:y="12740"/>
        <w:widowControl w:val="0"/>
        <w:autoSpaceDE w:val="0"/>
        <w:autoSpaceDN w:val="0"/>
        <w:spacing w:before="60" w:line="211" w:lineRule="exact"/>
        <w:ind w:left="52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23</w:t>
      </w:r>
    </w:p>
    <w:p>
      <w:pPr>
        <w:framePr w:w="773" w:x="8001" w:y="127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93</w:t>
      </w:r>
      <w:r>
        <w:rPr>
          <w:rFonts w:ascii="SimSun" w:eastAsiaTheme="minorEastAsia" w:hAnsiTheme="minorHAnsi" w:cstheme="minorBidi"/>
          <w:color w:val="000000"/>
          <w:spacing w:val="11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w:t>
      </w:r>
    </w:p>
    <w:p>
      <w:pPr>
        <w:framePr w:w="2926" w:x="8928" w:y="127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992.</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533.</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5.97</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募集资</w:t>
      </w:r>
    </w:p>
    <w:p>
      <w:pPr>
        <w:framePr w:w="346" w:x="8428" w:y="130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451" w:x="9136" w:y="130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78</w:t>
      </w:r>
    </w:p>
    <w:p>
      <w:pPr>
        <w:framePr w:w="451" w:x="9844" w:y="130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68</w:t>
      </w:r>
    </w:p>
    <w:p>
      <w:pPr>
        <w:framePr w:w="876" w:x="10977" w:y="130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金与自</w:t>
      </w:r>
    </w:p>
    <w:p>
      <w:pPr>
        <w:framePr w:w="876" w:x="10977" w:y="1301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筹资金</w:t>
      </w:r>
    </w:p>
    <w:p>
      <w:pPr>
        <w:framePr w:w="876" w:x="10977" w:y="1301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自筹资</w:t>
      </w:r>
    </w:p>
    <w:p>
      <w:pPr>
        <w:framePr w:w="876" w:x="10977" w:y="1301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w:t>
      </w:r>
    </w:p>
    <w:p>
      <w:pPr>
        <w:framePr w:w="1661" w:x="346" w:y="13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z w:val="21"/>
          <w:szCs w:val="22"/>
          <w:lang w:val="en-US" w:eastAsia="en-US" w:bidi="ar-SA"/>
        </w:rPr>
        <w:t>吨</w:t>
      </w:r>
    </w:p>
    <w:p>
      <w:pPr>
        <w:framePr w:w="1661" w:x="346" w:y="1356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烯草酮原药、</w:t>
      </w:r>
    </w:p>
    <w:p>
      <w:pPr>
        <w:framePr w:w="1661" w:x="346" w:y="1356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z w:val="21"/>
          <w:szCs w:val="22"/>
          <w:lang w:val="en-US" w:eastAsia="en-US" w:bidi="ar-SA"/>
        </w:rPr>
        <w:t>吨硫化碱</w:t>
      </w:r>
    </w:p>
    <w:p>
      <w:pPr>
        <w:framePr w:w="1661" w:x="346" w:y="1356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9000</w:t>
      </w:r>
      <w:r>
        <w:rPr>
          <w:rFonts w:ascii="SimSun" w:hAnsi="SimSun" w:eastAsiaTheme="minorEastAsia" w:cs="SimSun"/>
          <w:color w:val="000000"/>
          <w:sz w:val="21"/>
          <w:szCs w:val="22"/>
          <w:lang w:val="en-US" w:eastAsia="en-US" w:bidi="ar-SA"/>
        </w:rPr>
        <w:t>吨熔融</w:t>
      </w:r>
    </w:p>
    <w:p>
      <w:pPr>
        <w:framePr w:w="1661" w:x="346" w:y="1356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盐”项目</w:t>
      </w:r>
    </w:p>
    <w:p>
      <w:pPr>
        <w:framePr w:w="2506" w:x="2189" w:y="135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12,00</w:t>
      </w:r>
      <w:r>
        <w:rPr>
          <w:rFonts w:ascii="SimSun" w:eastAsiaTheme="minorEastAsia" w:hAnsiTheme="minorHAnsi" w:cstheme="minorBidi"/>
          <w:color w:val="000000"/>
          <w:spacing w:val="21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3,303.</w:t>
      </w:r>
      <w:r>
        <w:rPr>
          <w:rFonts w:ascii="SimSun" w:eastAsiaTheme="minorEastAsia" w:hAnsiTheme="minorHAnsi" w:cstheme="minorBidi"/>
          <w:color w:val="000000"/>
          <w:spacing w:val="14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2,100</w:t>
      </w:r>
    </w:p>
    <w:p>
      <w:pPr>
        <w:framePr w:w="2506" w:x="2189" w:y="13566"/>
        <w:widowControl w:val="0"/>
        <w:autoSpaceDE w:val="0"/>
        <w:autoSpaceDN w:val="0"/>
        <w:spacing w:before="6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0.03</w:t>
      </w:r>
      <w:r>
        <w:rPr>
          <w:rFonts w:ascii="SimSun" w:eastAsiaTheme="minorEastAsia" w:hAnsiTheme="minorHAnsi" w:cstheme="minorBidi"/>
          <w:color w:val="000000"/>
          <w:spacing w:val="63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17</w:t>
      </w:r>
      <w:r>
        <w:rPr>
          <w:rFonts w:ascii="SimSun" w:eastAsiaTheme="minorEastAsia" w:hAnsiTheme="minorHAnsi" w:cstheme="minorBidi"/>
          <w:color w:val="000000"/>
          <w:spacing w:val="35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.68</w:t>
      </w:r>
    </w:p>
    <w:p>
      <w:pPr>
        <w:framePr w:w="979" w:x="6625" w:y="135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5,403.8</w:t>
      </w:r>
    </w:p>
    <w:p>
      <w:pPr>
        <w:framePr w:w="979" w:x="6625" w:y="13566"/>
        <w:widowControl w:val="0"/>
        <w:autoSpaceDE w:val="0"/>
        <w:autoSpaceDN w:val="0"/>
        <w:spacing w:before="62"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773" w:x="8001" w:y="135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45</w:t>
      </w:r>
      <w:r>
        <w:rPr>
          <w:rFonts w:ascii="SimSun" w:eastAsiaTheme="minorEastAsia" w:hAnsiTheme="minorHAnsi" w:cstheme="minorBidi"/>
          <w:color w:val="000000"/>
          <w:spacing w:val="11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w:t>
      </w:r>
    </w:p>
    <w:p>
      <w:pPr>
        <w:framePr w:w="773" w:x="8001" w:y="13566"/>
        <w:widowControl w:val="0"/>
        <w:autoSpaceDE w:val="0"/>
        <w:autoSpaceDN w:val="0"/>
        <w:spacing w:before="62" w:line="211" w:lineRule="exact"/>
        <w:ind w:left="42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41" type="#_x0000_t75" style="width:445.6pt;height:2.7pt;margin-top:53.65pt;margin-left:87.45pt;mso-position-horizontal-relative:page;mso-position-vertical-relative:page;position:absolute;z-index:-251268096">
            <v:imagedata r:id="rId257" o:title=""/>
          </v:shape>
        </w:pict>
      </w:r>
      <w:r>
        <w:rPr>
          <w:noProof/>
        </w:rPr>
        <w:pict>
          <v:shape id="_x0000_s1342" type="#_x0000_t75" style="width:562.5pt;height:322.35pt;margin-top:171pt;margin-left:17.7pt;mso-position-horizontal-relative:page;mso-position-vertical-relative:page;position:absolute;z-index:-251367424">
            <v:imagedata r:id="rId258" o:title=""/>
          </v:shape>
        </w:pict>
      </w:r>
      <w:r>
        <w:rPr>
          <w:noProof/>
        </w:rPr>
        <w:pict>
          <v:shape id="_x0000_s1343" type="#_x0000_t75" style="width:576.7pt;height:208.3pt;margin-top:538.15pt;margin-left:10.65pt;mso-position-horizontal-relative:page;mso-position-vertical-relative:page;position:absolute;z-index:-251509760">
            <v:imagedata r:id="rId259" o:title=""/>
          </v:shape>
        </w:pict>
      </w:r>
    </w:p>
    <w:p>
      <w:pPr>
        <w:spacing w:line="0" w:lineRule="atLeast"/>
        <w:rPr>
          <w:rFonts w:ascii="Arial" w:eastAsiaTheme="minorEastAsia" w:hAnsiTheme="minorHAnsi" w:cstheme="minorBidi"/>
          <w:color w:val="FF0000"/>
          <w:sz w:val="2"/>
          <w:szCs w:val="22"/>
          <w:lang w:val="en-US" w:eastAsia="en-US" w:bidi="ar-SA"/>
        </w:rPr>
      </w:pPr>
      <w:bookmarkStart w:id="146" w:name="br1_145"/>
      <w:bookmarkEnd w:id="14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497" w:x="218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70,60</w:t>
      </w:r>
      <w:r>
        <w:rPr>
          <w:rFonts w:ascii="SimSun" w:eastAsiaTheme="minorEastAsia" w:hAnsiTheme="minorHAnsi" w:cstheme="minorBidi"/>
          <w:color w:val="000000"/>
          <w:spacing w:val="21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35,320</w:t>
      </w:r>
      <w:r>
        <w:rPr>
          <w:rFonts w:ascii="SimSun" w:eastAsiaTheme="minorEastAsia" w:hAnsiTheme="minorHAnsi" w:cstheme="minorBidi"/>
          <w:color w:val="000000"/>
          <w:spacing w:val="14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8,453</w:t>
      </w:r>
      <w:r>
        <w:rPr>
          <w:rFonts w:ascii="SimSun" w:eastAsiaTheme="minorEastAsia" w:hAnsiTheme="minorHAnsi" w:cstheme="minorBidi"/>
          <w:color w:val="000000"/>
          <w:spacing w:val="25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21,925</w:t>
      </w:r>
    </w:p>
    <w:p>
      <w:pPr>
        <w:framePr w:w="3497" w:x="2189" w:y="1547"/>
        <w:widowControl w:val="0"/>
        <w:autoSpaceDE w:val="0"/>
        <w:autoSpaceDN w:val="0"/>
        <w:spacing w:before="6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4.75</w:t>
      </w:r>
      <w:r>
        <w:rPr>
          <w:rFonts w:ascii="SimSun" w:eastAsiaTheme="minorEastAsia" w:hAnsiTheme="minorHAnsi" w:cstheme="minorBidi"/>
          <w:color w:val="000000"/>
          <w:spacing w:val="53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.38</w:t>
      </w:r>
      <w:r>
        <w:rPr>
          <w:rFonts w:ascii="SimSun" w:eastAsiaTheme="minorEastAsia" w:hAnsiTheme="minorHAnsi" w:cstheme="minorBidi"/>
          <w:color w:val="000000"/>
          <w:spacing w:val="35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.68</w:t>
      </w:r>
      <w:r>
        <w:rPr>
          <w:rFonts w:ascii="SimSun" w:eastAsiaTheme="minorEastAsia" w:hAnsiTheme="minorHAnsi" w:cstheme="minorBidi"/>
          <w:color w:val="000000"/>
          <w:spacing w:val="56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.98</w:t>
      </w:r>
    </w:p>
    <w:p>
      <w:pPr>
        <w:framePr w:w="979" w:x="6625"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21,848.</w:t>
      </w:r>
    </w:p>
    <w:p>
      <w:pPr>
        <w:framePr w:w="979" w:x="6625" w:y="1547"/>
        <w:widowControl w:val="0"/>
        <w:autoSpaceDE w:val="0"/>
        <w:autoSpaceDN w:val="0"/>
        <w:spacing w:before="60" w:line="211" w:lineRule="exact"/>
        <w:ind w:left="52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08</w:t>
      </w:r>
    </w:p>
    <w:p>
      <w:pPr>
        <w:framePr w:w="346" w:x="7753"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842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795" w:x="892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992.</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533.</w:t>
      </w:r>
      <w:r>
        <w:rPr>
          <w:rFonts w:ascii="SimSun" w:eastAsiaTheme="minorEastAsia" w:hAnsiTheme="minorHAnsi" w:cstheme="minorBidi"/>
          <w:color w:val="000000"/>
          <w:spacing w:val="2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p>
    <w:p>
      <w:pPr>
        <w:framePr w:w="1795" w:x="8928" w:y="1547"/>
        <w:widowControl w:val="0"/>
        <w:autoSpaceDE w:val="0"/>
        <w:autoSpaceDN w:val="0"/>
        <w:spacing w:before="6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78</w:t>
      </w:r>
      <w:r>
        <w:rPr>
          <w:rFonts w:ascii="SimSun" w:eastAsiaTheme="minorEastAsia" w:hAnsiTheme="minorHAnsi" w:cstheme="minorBidi"/>
          <w:color w:val="000000"/>
          <w:spacing w:val="39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68</w:t>
      </w:r>
    </w:p>
    <w:p>
      <w:pPr>
        <w:framePr w:w="346" w:x="11155"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662" w:x="895" w:y="16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619" w:x="1798" w:y="22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本期计提在建工程减值准备情况</w:t>
      </w:r>
    </w:p>
    <w:p>
      <w:pPr>
        <w:framePr w:w="1817" w:x="1798" w:y="27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93" w:x="8181" w:y="3355"/>
        <w:widowControl w:val="0"/>
        <w:autoSpaceDE w:val="0"/>
        <w:autoSpaceDN w:val="0"/>
        <w:spacing w:line="211" w:lineRule="exact"/>
        <w:ind w:left="13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693" w:x="8181" w:y="3355"/>
        <w:widowControl w:val="0"/>
        <w:autoSpaceDE w:val="0"/>
        <w:autoSpaceDN w:val="0"/>
        <w:spacing w:before="8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计提原因</w:t>
      </w:r>
    </w:p>
    <w:p>
      <w:pPr>
        <w:framePr w:w="662" w:x="2727" w:y="36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2727" w:y="3648"/>
        <w:widowControl w:val="0"/>
        <w:autoSpaceDE w:val="0"/>
        <w:autoSpaceDN w:val="0"/>
        <w:spacing w:before="348"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4561" w:y="36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本期计提金额</w:t>
      </w:r>
    </w:p>
    <w:p>
      <w:pPr>
        <w:framePr w:w="1085" w:x="1798" w:y="39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潍坊新厂</w:t>
      </w:r>
    </w:p>
    <w:p>
      <w:pPr>
        <w:framePr w:w="1085" w:x="1798" w:y="3929"/>
        <w:widowControl w:val="0"/>
        <w:autoSpaceDE w:val="0"/>
        <w:autoSpaceDN w:val="0"/>
        <w:spacing w:before="73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6323" w:x="4815" w:y="39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2,895,620.00</w:t>
      </w:r>
      <w:r>
        <w:rPr>
          <w:rFonts w:ascii="SimSun" w:eastAsiaTheme="minorEastAsia" w:hAnsiTheme="minorHAnsi" w:cstheme="minorBidi"/>
          <w:color w:val="000000"/>
          <w:spacing w:val="126"/>
          <w:sz w:val="21"/>
          <w:szCs w:val="22"/>
          <w:lang w:val="en-US" w:eastAsia="en-US" w:bidi="ar-SA"/>
        </w:rPr>
        <w:t xml:space="preserve"> </w:t>
      </w:r>
      <w:r>
        <w:rPr>
          <w:rFonts w:ascii="SimSun" w:hAnsi="SimSun" w:eastAsiaTheme="minorEastAsia" w:cs="SimSun"/>
          <w:color w:val="000000"/>
          <w:spacing w:val="-2"/>
          <w:sz w:val="21"/>
          <w:szCs w:val="22"/>
          <w:lang w:val="en-US" w:eastAsia="en-US" w:bidi="ar-SA"/>
        </w:rPr>
        <w:t>潍坊新厂项目协议解除，原基础投入预计无法收回</w:t>
      </w:r>
    </w:p>
    <w:p>
      <w:pPr>
        <w:framePr w:w="1507" w:x="4815" w:y="42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2,895,620.00</w:t>
      </w:r>
    </w:p>
    <w:p>
      <w:pPr>
        <w:framePr w:w="346" w:x="8548" w:y="42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817" w:x="1798" w:y="5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540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工程物资</w:t>
      </w:r>
    </w:p>
    <w:p>
      <w:pPr>
        <w:framePr w:w="1934" w:x="1798" w:y="6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工程物资情况</w:t>
      </w:r>
    </w:p>
    <w:p>
      <w:pPr>
        <w:framePr w:w="1934" w:x="1798" w:y="646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5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519"/>
        <w:widowControl w:val="0"/>
        <w:autoSpaceDE w:val="0"/>
        <w:autoSpaceDN w:val="0"/>
        <w:spacing w:before="70" w:line="211" w:lineRule="exact"/>
        <w:ind w:left="61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135" w:x="4465" w:y="78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135" w:x="4465" w:y="7800"/>
        <w:widowControl w:val="0"/>
        <w:autoSpaceDE w:val="0"/>
        <w:autoSpaceDN w:val="0"/>
        <w:spacing w:before="72"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1296" w:x="1058" w:y="7942"/>
        <w:widowControl w:val="0"/>
        <w:autoSpaceDE w:val="0"/>
        <w:autoSpaceDN w:val="0"/>
        <w:spacing w:line="211" w:lineRule="exact"/>
        <w:ind w:left="52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1058" w:y="7942"/>
        <w:widowControl w:val="0"/>
        <w:autoSpaceDE w:val="0"/>
        <w:autoSpaceDN w:val="0"/>
        <w:spacing w:before="2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工程用材料</w:t>
      </w:r>
    </w:p>
    <w:p>
      <w:pPr>
        <w:framePr w:w="1085" w:x="3077" w:y="80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5907" w:y="80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7501" w:y="80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8880" w:y="80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1085" w:x="10310" w:y="80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507" w:x="2974" w:y="836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6,690,020.04</w:t>
      </w:r>
    </w:p>
    <w:p>
      <w:pPr>
        <w:framePr w:w="3202" w:x="5646" w:y="836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6,690,020.04</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8,818,096.75</w:t>
      </w:r>
    </w:p>
    <w:p>
      <w:pPr>
        <w:framePr w:w="3202" w:x="5646" w:y="836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15,400,063.46</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9,349,934.38</w:t>
      </w:r>
    </w:p>
    <w:p>
      <w:pPr>
        <w:framePr w:w="3202" w:x="5646" w:y="836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22,090,083.50</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18,168,031.13</w:t>
      </w:r>
    </w:p>
    <w:p>
      <w:pPr>
        <w:framePr w:w="1613" w:x="10104" w:y="836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8,818,096.75</w:t>
      </w:r>
    </w:p>
    <w:p>
      <w:pPr>
        <w:framePr w:w="1613" w:x="10104" w:y="836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9,349,934.38</w:t>
      </w:r>
    </w:p>
    <w:p>
      <w:pPr>
        <w:framePr w:w="1613" w:x="10104" w:y="836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18,168,031.13</w:t>
      </w:r>
    </w:p>
    <w:p>
      <w:pPr>
        <w:framePr w:w="3418" w:x="1058" w:y="86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尚未安装的设备</w:t>
      </w:r>
      <w:r>
        <w:rPr>
          <w:rFonts w:eastAsiaTheme="minorEastAsia" w:hAnsiTheme="minorHAnsi" w:cstheme="minorBidi"/>
          <w:color w:val="000000"/>
          <w:spacing w:val="28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15,400,063.46</w:t>
      </w:r>
    </w:p>
    <w:p>
      <w:pPr>
        <w:framePr w:w="3418" w:x="1058" w:y="8648"/>
        <w:widowControl w:val="0"/>
        <w:autoSpaceDE w:val="0"/>
        <w:autoSpaceDN w:val="0"/>
        <w:spacing w:before="72" w:line="211" w:lineRule="exact"/>
        <w:ind w:left="528"/>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r>
        <w:rPr>
          <w:rFonts w:eastAsiaTheme="minorEastAsia" w:hAnsiTheme="minorHAnsi" w:cstheme="minorBidi"/>
          <w:color w:val="000000"/>
          <w:spacing w:val="8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22,090,083.50</w:t>
      </w:r>
    </w:p>
    <w:p>
      <w:pPr>
        <w:framePr w:w="1296" w:x="1798" w:y="93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98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222" w:x="1798" w:y="103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生产性生物资产</w:t>
      </w:r>
    </w:p>
    <w:p>
      <w:pPr>
        <w:framePr w:w="4042" w:x="1798" w:y="109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采用成本计量模式的生产性生物资产</w:t>
      </w:r>
    </w:p>
    <w:p>
      <w:pPr>
        <w:framePr w:w="1817" w:x="1798" w:y="114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4" w:x="1798" w:y="119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采用公允价值计量模式的生产性生物资产</w:t>
      </w:r>
    </w:p>
    <w:p>
      <w:pPr>
        <w:framePr w:w="4464" w:x="1798" w:y="1197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130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135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140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油气资产</w:t>
      </w:r>
    </w:p>
    <w:p>
      <w:pPr>
        <w:framePr w:w="1817" w:x="1798" w:y="146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9"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44" type="#_x0000_t75" style="width:445.6pt;height:2.7pt;margin-top:53.65pt;margin-left:87.45pt;mso-position-horizontal-relative:page;mso-position-vertical-relative:page;position:absolute;z-index:-251206656">
            <v:imagedata r:id="rId260" o:title=""/>
          </v:shape>
        </w:pict>
      </w:r>
      <w:r>
        <w:rPr>
          <w:noProof/>
        </w:rPr>
        <w:pict>
          <v:shape id="_x0000_s1345" type="#_x0000_t75" style="width:576.7pt;height:30.35pt;margin-top:74.3pt;margin-left:10.65pt;mso-position-horizontal-relative:page;mso-position-vertical-relative:page;position:absolute;z-index:-251267072">
            <v:imagedata r:id="rId261" o:title=""/>
          </v:shape>
        </w:pict>
      </w:r>
      <w:r>
        <w:rPr>
          <w:noProof/>
        </w:rPr>
        <w:pict>
          <v:shape id="_x0000_s1346" type="#_x0000_t75" style="width:468.65pt;height:44.25pt;margin-top:179.4pt;margin-left:83.15pt;mso-position-horizontal-relative:page;mso-position-vertical-relative:page;position:absolute;z-index:-251366400">
            <v:imagedata r:id="rId262" o:title=""/>
          </v:shape>
        </w:pict>
      </w:r>
      <w:r>
        <w:rPr>
          <w:noProof/>
        </w:rPr>
        <w:pict>
          <v:shape id="_x0000_s1347" type="#_x0000_t75" style="width:534.2pt;height:73.05pt;margin-top:387.05pt;margin-left:46.05pt;mso-position-horizontal-relative:page;mso-position-vertical-relative:page;position:absolute;z-index:-251508736">
            <v:imagedata r:id="rId263" o:title=""/>
          </v:shape>
        </w:pict>
      </w:r>
    </w:p>
    <w:p>
      <w:pPr>
        <w:spacing w:line="0" w:lineRule="atLeast"/>
        <w:rPr>
          <w:rFonts w:ascii="Arial" w:eastAsiaTheme="minorEastAsia" w:hAnsiTheme="minorHAnsi" w:cstheme="minorBidi"/>
          <w:color w:val="FF0000"/>
          <w:sz w:val="2"/>
          <w:szCs w:val="22"/>
          <w:lang w:val="en-US" w:eastAsia="en-US" w:bidi="ar-SA"/>
        </w:rPr>
      </w:pPr>
      <w:bookmarkStart w:id="147" w:name="br1_146"/>
      <w:bookmarkEnd w:id="14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8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使用权资产</w:t>
      </w:r>
    </w:p>
    <w:p>
      <w:pPr>
        <w:framePr w:w="1817"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无形资产</w:t>
      </w:r>
    </w:p>
    <w:p>
      <w:pPr>
        <w:framePr w:w="1934" w:x="1798"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无形资产情况</w:t>
      </w:r>
    </w:p>
    <w:p>
      <w:pPr>
        <w:framePr w:w="1934" w:x="1798" w:y="31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84" w:x="8190" w:y="4178"/>
        <w:widowControl w:val="0"/>
        <w:autoSpaceDE w:val="0"/>
        <w:autoSpaceDN w:val="0"/>
        <w:spacing w:line="211" w:lineRule="exact"/>
        <w:ind w:left="13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684" w:x="8190" w:y="4178"/>
        <w:widowControl w:val="0"/>
        <w:autoSpaceDE w:val="0"/>
        <w:autoSpaceDN w:val="0"/>
        <w:spacing w:before="20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技术使用权</w:t>
      </w:r>
      <w:r>
        <w:rPr>
          <w:rFonts w:eastAsiaTheme="minorEastAsia" w:hAnsiTheme="minorHAnsi" w:cstheme="minorBidi"/>
          <w:color w:val="000000"/>
          <w:spacing w:val="79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合计</w:t>
      </w:r>
    </w:p>
    <w:p>
      <w:pPr>
        <w:framePr w:w="874" w:x="5591" w:y="4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非专利</w:t>
      </w:r>
    </w:p>
    <w:p>
      <w:pPr>
        <w:framePr w:w="662" w:x="1656" w:y="4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3113" w:y="4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土地使用权</w:t>
      </w:r>
    </w:p>
    <w:p>
      <w:pPr>
        <w:framePr w:w="874" w:x="4669" w:y="4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专利权</w:t>
      </w:r>
    </w:p>
    <w:p>
      <w:pPr>
        <w:framePr w:w="1296" w:x="6630" w:y="4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软件使用权</w:t>
      </w:r>
    </w:p>
    <w:p>
      <w:pPr>
        <w:framePr w:w="662" w:x="5696" w:y="4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技术</w:t>
      </w:r>
    </w:p>
    <w:p>
      <w:pPr>
        <w:framePr w:w="1718" w:x="1054" w:y="50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一、账面原值</w:t>
      </w:r>
    </w:p>
    <w:p>
      <w:pPr>
        <w:framePr w:w="1718" w:x="1054" w:y="5049"/>
        <w:widowControl w:val="0"/>
        <w:autoSpaceDE w:val="0"/>
        <w:autoSpaceDN w:val="0"/>
        <w:spacing w:before="14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718" w:x="1054" w:y="504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1054" w:y="5049"/>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购置</w:t>
      </w:r>
    </w:p>
    <w:p>
      <w:pPr>
        <w:framePr w:w="1718" w:x="2912" w:y="54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124,094,042.78</w:t>
      </w:r>
    </w:p>
    <w:p>
      <w:pPr>
        <w:framePr w:w="4678" w:x="6611" w:y="54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1,288,958.51</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1,978,698.11</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127,361,699.40</w:t>
      </w:r>
    </w:p>
    <w:p>
      <w:pPr>
        <w:framePr w:w="1085" w:x="7031" w:y="57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4,840.35</w:t>
      </w:r>
    </w:p>
    <w:p>
      <w:pPr>
        <w:framePr w:w="1085" w:x="7031" w:y="5751"/>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4,840.35</w:t>
      </w:r>
    </w:p>
    <w:p>
      <w:pPr>
        <w:framePr w:w="1085" w:x="10207" w:y="57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4,840.35</w:t>
      </w:r>
    </w:p>
    <w:p>
      <w:pPr>
        <w:framePr w:w="1085" w:x="10207" w:y="5751"/>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4,840.35</w:t>
      </w:r>
    </w:p>
    <w:p>
      <w:pPr>
        <w:framePr w:w="1402" w:x="1054" w:y="64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内部研发</w:t>
      </w:r>
    </w:p>
    <w:p>
      <w:pPr>
        <w:framePr w:w="1824" w:x="1054" w:y="67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企业合并增加</w:t>
      </w:r>
    </w:p>
    <w:p>
      <w:pPr>
        <w:framePr w:w="1718" w:x="1054" w:y="71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718" w:x="1054" w:y="7150"/>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处置</w:t>
      </w:r>
    </w:p>
    <w:p>
      <w:pPr>
        <w:framePr w:w="1507" w:x="1054" w:y="78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1054" w:y="7851"/>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二、累计摊销</w:t>
      </w:r>
    </w:p>
    <w:p>
      <w:pPr>
        <w:framePr w:w="1507" w:x="1054" w:y="7851"/>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718" w:x="2912" w:y="78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124,094,042.78</w:t>
      </w:r>
    </w:p>
    <w:p>
      <w:pPr>
        <w:framePr w:w="4678" w:x="6611" w:y="78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1,293,798.86</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1,978,698.11</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127,366,539.75</w:t>
      </w:r>
    </w:p>
    <w:p>
      <w:pPr>
        <w:framePr w:w="1507" w:x="3123" w:y="85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6,386,357.00</w:t>
      </w:r>
    </w:p>
    <w:p>
      <w:pPr>
        <w:framePr w:w="1507" w:x="3123" w:y="8551"/>
        <w:widowControl w:val="0"/>
        <w:autoSpaceDE w:val="0"/>
        <w:autoSpaceDN w:val="0"/>
        <w:spacing w:before="24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2,487,921.96</w:t>
      </w:r>
    </w:p>
    <w:p>
      <w:pPr>
        <w:framePr w:w="1507" w:x="3123" w:y="8551"/>
        <w:widowControl w:val="0"/>
        <w:autoSpaceDE w:val="0"/>
        <w:autoSpaceDN w:val="0"/>
        <w:spacing w:before="24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2,487,921.96</w:t>
      </w:r>
    </w:p>
    <w:p>
      <w:pPr>
        <w:framePr w:w="2979" w:x="6611" w:y="85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1,247,458.89</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1,033,574.18</w:t>
      </w:r>
    </w:p>
    <w:p>
      <w:pPr>
        <w:framePr w:w="1507" w:x="9784" w:y="85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8,667,390.07</w:t>
      </w:r>
    </w:p>
    <w:p>
      <w:pPr>
        <w:framePr w:w="1507" w:x="9784" w:y="8551"/>
        <w:widowControl w:val="0"/>
        <w:autoSpaceDE w:val="0"/>
        <w:autoSpaceDN w:val="0"/>
        <w:spacing w:before="10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2,690,182.01</w:t>
      </w:r>
    </w:p>
    <w:p>
      <w:pPr>
        <w:framePr w:w="1718" w:x="1054" w:y="90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190" w:x="6925" w:y="90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20,008.49</w:t>
      </w:r>
    </w:p>
    <w:p>
      <w:pPr>
        <w:framePr w:w="1190" w:x="6925" w:y="9003"/>
        <w:widowControl w:val="0"/>
        <w:autoSpaceDE w:val="0"/>
        <w:autoSpaceDN w:val="0"/>
        <w:spacing w:before="24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20,008.49</w:t>
      </w:r>
    </w:p>
    <w:p>
      <w:pPr>
        <w:framePr w:w="1296" w:x="8296" w:y="90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182,251.56</w:t>
      </w:r>
    </w:p>
    <w:p>
      <w:pPr>
        <w:framePr w:w="1296" w:x="8296" w:y="9003"/>
        <w:widowControl w:val="0"/>
        <w:autoSpaceDE w:val="0"/>
        <w:autoSpaceDN w:val="0"/>
        <w:spacing w:before="24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182,251.56</w:t>
      </w:r>
    </w:p>
    <w:p>
      <w:pPr>
        <w:framePr w:w="1190" w:x="1054" w:y="9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1507" w:x="9787" w:y="94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2,690,182.01</w:t>
      </w:r>
    </w:p>
    <w:p>
      <w:pPr>
        <w:framePr w:w="1718" w:x="1054" w:y="9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718" w:x="1054" w:y="9805"/>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处置</w:t>
      </w:r>
    </w:p>
    <w:p>
      <w:pPr>
        <w:framePr w:w="1718" w:x="1054" w:y="105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718" w:x="1054" w:y="10505"/>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三、减值准备</w:t>
      </w:r>
    </w:p>
    <w:p>
      <w:pPr>
        <w:framePr w:w="1718" w:x="1054" w:y="10505"/>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718" w:x="1054" w:y="10505"/>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1054" w:y="10505"/>
        <w:widowControl w:val="0"/>
        <w:autoSpaceDE w:val="0"/>
        <w:autoSpaceDN w:val="0"/>
        <w:spacing w:before="13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1507" w:x="3123" w:y="105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8,874,278.96</w:t>
      </w:r>
    </w:p>
    <w:p>
      <w:pPr>
        <w:framePr w:w="4678" w:x="6611" w:y="105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1,267,467.38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1,215,825.74</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11,357,572.08</w:t>
      </w:r>
    </w:p>
    <w:p>
      <w:pPr>
        <w:framePr w:w="1718" w:x="1054" w:y="122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718" w:x="1054" w:y="12255"/>
        <w:widowControl w:val="0"/>
        <w:autoSpaceDE w:val="0"/>
        <w:autoSpaceDN w:val="0"/>
        <w:spacing w:before="14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处置</w:t>
      </w:r>
    </w:p>
    <w:p>
      <w:pPr>
        <w:framePr w:w="1507" w:x="1054" w:y="129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1054" w:y="12957"/>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四、账面价值</w:t>
      </w:r>
    </w:p>
    <w:p>
      <w:pPr>
        <w:framePr w:w="3572" w:x="1054" w:y="136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期末账面价值</w:t>
      </w:r>
      <w:r>
        <w:rPr>
          <w:rFonts w:eastAsiaTheme="minorEastAsia" w:hAnsiTheme="minorHAnsi" w:cstheme="minorBidi"/>
          <w:color w:val="000000"/>
          <w:spacing w:val="33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115,219,763.82</w:t>
      </w:r>
    </w:p>
    <w:p>
      <w:pPr>
        <w:framePr w:w="3572" w:x="1054" w:y="13657"/>
        <w:widowControl w:val="0"/>
        <w:autoSpaceDE w:val="0"/>
        <w:autoSpaceDN w:val="0"/>
        <w:spacing w:before="13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期初账面价值</w:t>
      </w:r>
      <w:r>
        <w:rPr>
          <w:rFonts w:eastAsiaTheme="minorEastAsia" w:hAnsiTheme="minorHAnsi" w:cstheme="minorBidi"/>
          <w:color w:val="000000"/>
          <w:spacing w:val="33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117,707,685.78</w:t>
      </w:r>
    </w:p>
    <w:p>
      <w:pPr>
        <w:framePr w:w="1190" w:x="6925" w:y="136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26,331.48</w:t>
      </w:r>
    </w:p>
    <w:p>
      <w:pPr>
        <w:framePr w:w="1190" w:x="6925" w:y="13657"/>
        <w:widowControl w:val="0"/>
        <w:autoSpaceDE w:val="0"/>
        <w:autoSpaceDN w:val="0"/>
        <w:spacing w:before="13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41,499.62</w:t>
      </w:r>
    </w:p>
    <w:p>
      <w:pPr>
        <w:framePr w:w="2994" w:x="8296" w:y="136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762,872.37</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116,008,967.67</w:t>
      </w:r>
    </w:p>
    <w:p>
      <w:pPr>
        <w:framePr w:w="2994" w:x="8296" w:y="13657"/>
        <w:widowControl w:val="0"/>
        <w:autoSpaceDE w:val="0"/>
        <w:autoSpaceDN w:val="0"/>
        <w:spacing w:before="13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945,123.93</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118,694,309.33</w:t>
      </w:r>
    </w:p>
    <w:p>
      <w:pPr>
        <w:framePr w:w="8594" w:x="2218" w:y="144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潍坊先达与中信银行股份有限公司济南分行分别签订本金为</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541.5</w:t>
      </w:r>
      <w:r>
        <w:rPr>
          <w:rFonts w:ascii="SimSun" w:hAnsi="SimSun" w:eastAsiaTheme="minorEastAsia" w:cs="SimSun"/>
          <w:color w:val="000000"/>
          <w:sz w:val="21"/>
          <w:szCs w:val="22"/>
          <w:lang w:val="en-US" w:eastAsia="en-US" w:bidi="ar-SA"/>
        </w:rPr>
        <w:t>万元人民币、</w:t>
      </w:r>
      <w:r>
        <w:rPr>
          <w:rFonts w:ascii="SimSun" w:eastAsiaTheme="minorEastAsia" w:hAnsiTheme="minorHAnsi" w:cstheme="minorBidi"/>
          <w:color w:val="000000"/>
          <w:sz w:val="21"/>
          <w:szCs w:val="22"/>
          <w:lang w:val="en-US" w:eastAsia="en-US" w:bidi="ar-SA"/>
        </w:rPr>
        <w:t>4500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万元</w:t>
      </w:r>
    </w:p>
    <w:p>
      <w:pPr>
        <w:framePr w:w="9110" w:x="1798" w:y="148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人民币的最高额抵押合同，为确保中信银行股份有限公司济南分行与济南先达在一定期限内连续</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48" type="#_x0000_t75" style="width:445.6pt;height:2.7pt;margin-top:53.65pt;margin-left:87.45pt;mso-position-horizontal-relative:page;mso-position-vertical-relative:page;position:absolute;z-index:-251365376">
            <v:imagedata r:id="rId264" o:title=""/>
          </v:shape>
        </w:pict>
      </w:r>
      <w:r>
        <w:rPr>
          <w:noProof/>
        </w:rPr>
        <w:pict>
          <v:shape id="_x0000_s1349" type="#_x0000_t75" style="width:512.95pt;height:495.5pt;margin-top:220.1pt;margin-left:46.05pt;mso-position-horizontal-relative:page;mso-position-vertical-relative:page;position:absolute;z-index:-251507712">
            <v:imagedata r:id="rId265" o:title=""/>
          </v:shape>
        </w:pict>
      </w:r>
    </w:p>
    <w:p>
      <w:pPr>
        <w:spacing w:line="0" w:lineRule="atLeast"/>
        <w:rPr>
          <w:rFonts w:ascii="Arial" w:eastAsiaTheme="minorEastAsia" w:hAnsiTheme="minorHAnsi" w:cstheme="minorBidi"/>
          <w:color w:val="FF0000"/>
          <w:sz w:val="2"/>
          <w:szCs w:val="22"/>
          <w:lang w:val="en-US" w:eastAsia="en-US" w:bidi="ar-SA"/>
        </w:rPr>
      </w:pPr>
      <w:bookmarkStart w:id="148" w:name="br1_147"/>
      <w:bookmarkEnd w:id="14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发生的多笔债务的发行，保障中信银行股份有限公司济南分行债权的实现，潍坊先达以其财产为</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主合同债务人履行债务提供最高额抵押担保，截止</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日，潍坊先达抵押土地使</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用权的账面价值为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4,177,094.08</w:t>
      </w:r>
      <w:r>
        <w:rPr>
          <w:rFonts w:ascii="SimSun" w:hAnsi="SimSun" w:eastAsiaTheme="minorEastAsia" w:cs="SimSun"/>
          <w:color w:val="000000"/>
          <w:spacing w:val="-1"/>
          <w:sz w:val="21"/>
          <w:szCs w:val="22"/>
          <w:lang w:val="en-US" w:eastAsia="en-US" w:bidi="ar-SA"/>
        </w:rPr>
        <w:t>元。</w:t>
      </w:r>
    </w:p>
    <w:p>
      <w:pPr>
        <w:framePr w:w="6704" w:x="1798" w:y="28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本期末通过公司内部研发形成的无形资产占无形资产余额的比例</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p>
    <w:p>
      <w:pPr>
        <w:framePr w:w="3830" w:x="1798"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未办妥产权证书的土地使用权情况</w:t>
      </w:r>
    </w:p>
    <w:p>
      <w:pPr>
        <w:framePr w:w="3830" w:x="1798" w:y="341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4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49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55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开发支出</w:t>
      </w:r>
    </w:p>
    <w:p>
      <w:pPr>
        <w:framePr w:w="1817" w:x="1798" w:y="60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166" w:x="1798" w:y="65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商誉</w:t>
      </w:r>
    </w:p>
    <w:p>
      <w:pPr>
        <w:framePr w:w="1934" w:x="1798" w:y="71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商誉账面原值</w:t>
      </w:r>
    </w:p>
    <w:p>
      <w:pPr>
        <w:framePr w:w="1934" w:x="1798" w:y="711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4" w:x="1798" w:y="81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商誉减值准备</w:t>
      </w:r>
    </w:p>
    <w:p>
      <w:pPr>
        <w:framePr w:w="1934" w:x="1798" w:y="816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4" w:x="1798" w:y="9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商誉所在资产组或资产组组合的相关信息</w:t>
      </w:r>
    </w:p>
    <w:p>
      <w:pPr>
        <w:framePr w:w="4464" w:x="1798" w:y="922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02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说明商誉减值测试过程、关键参数（例如预计未来现金流量现值时的预测期增长率、稳定期</w:t>
      </w:r>
    </w:p>
    <w:p>
      <w:pPr>
        <w:framePr w:w="7210" w:x="2223" w:y="106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增长率、利润率、折现率、预测期等，如适用）及商誉减值损失的确认方法</w:t>
      </w:r>
    </w:p>
    <w:p>
      <w:pPr>
        <w:framePr w:w="2568" w:x="1798" w:y="11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8" w:x="1798" w:y="1121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(5).</w:t>
      </w:r>
      <w:r>
        <w:rPr>
          <w:rFonts w:ascii="SimSun" w:hAnsi="SimSun" w:eastAsiaTheme="minorEastAsia" w:cs="SimSun"/>
          <w:color w:val="000000"/>
          <w:spacing w:val="1"/>
          <w:sz w:val="21"/>
          <w:szCs w:val="22"/>
          <w:lang w:val="en-US" w:eastAsia="en-US" w:bidi="ar-SA"/>
        </w:rPr>
        <w:t>商誉减值测试的影响</w:t>
      </w:r>
    </w:p>
    <w:p>
      <w:pPr>
        <w:framePr w:w="2568" w:x="1798" w:y="1121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8" w:x="1798" w:y="1121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2011" w:x="1798" w:y="133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13333"/>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长期待摊费用</w:t>
      </w:r>
    </w:p>
    <w:p>
      <w:pPr>
        <w:framePr w:w="2011" w:x="1798" w:y="1333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50" type="#_x0000_t75" style="width:445.6pt;height:2.7pt;margin-top:53.65pt;margin-left:87.45pt;mso-position-horizontal-relative:page;mso-position-vertical-relative:page;position:absolute;z-index:-25150668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49" w:name="br1_148"/>
      <w:bookmarkEnd w:id="14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9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递延所得税资产</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递延所得税负债</w:t>
      </w:r>
    </w:p>
    <w:p>
      <w:pPr>
        <w:framePr w:w="3910"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未经抵销的递延所得税资产</w:t>
      </w:r>
    </w:p>
    <w:p>
      <w:pPr>
        <w:framePr w:w="3910"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8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865"/>
        <w:widowControl w:val="0"/>
        <w:autoSpaceDE w:val="0"/>
        <w:autoSpaceDN w:val="0"/>
        <w:spacing w:before="79" w:line="211" w:lineRule="exact"/>
        <w:ind w:left="26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250" w:y="31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2674" w:y="34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4244" w:y="34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可抵扣暂时性</w:t>
      </w:r>
    </w:p>
    <w:p>
      <w:pPr>
        <w:framePr w:w="1507" w:x="4244" w:y="3444"/>
        <w:widowControl w:val="0"/>
        <w:autoSpaceDE w:val="0"/>
        <w:autoSpaceDN w:val="0"/>
        <w:spacing w:before="6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差异</w:t>
      </w:r>
    </w:p>
    <w:p>
      <w:pPr>
        <w:framePr w:w="1296" w:x="5943" w:y="34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递延所得税</w:t>
      </w:r>
    </w:p>
    <w:p>
      <w:pPr>
        <w:framePr w:w="1296" w:x="5943" w:y="3444"/>
        <w:widowControl w:val="0"/>
        <w:autoSpaceDE w:val="0"/>
        <w:autoSpaceDN w:val="0"/>
        <w:spacing w:before="60" w:line="211" w:lineRule="exact"/>
        <w:ind w:left="31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w:t>
      </w:r>
    </w:p>
    <w:p>
      <w:pPr>
        <w:framePr w:w="1296" w:x="9429" w:y="34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递延所得税</w:t>
      </w:r>
    </w:p>
    <w:p>
      <w:pPr>
        <w:framePr w:w="1930" w:x="7377" w:y="3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可抵扣暂时性差异</w:t>
      </w:r>
    </w:p>
    <w:p>
      <w:pPr>
        <w:framePr w:w="662" w:x="9746" w:y="37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w:t>
      </w:r>
    </w:p>
    <w:p>
      <w:pPr>
        <w:framePr w:w="1507" w:x="2360" w:y="40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资产减值准备</w:t>
      </w:r>
    </w:p>
    <w:p>
      <w:pPr>
        <w:framePr w:w="3202" w:x="4199" w:y="39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32,622,018.22</w:t>
      </w:r>
      <w:r>
        <w:rPr>
          <w:rFonts w:ascii="SimSun" w:eastAsiaTheme="minorEastAsia" w:hAnsiTheme="minorHAnsi" w:cstheme="minorBidi"/>
          <w:color w:val="000000"/>
          <w:spacing w:val="2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5,135,768.43</w:t>
      </w:r>
    </w:p>
    <w:p>
      <w:pPr>
        <w:framePr w:w="3181" w:x="7696" w:y="39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41,135,834.40</w:t>
      </w:r>
      <w:r>
        <w:rPr>
          <w:rFonts w:ascii="SimSun" w:eastAsiaTheme="minorEastAsia" w:hAnsiTheme="minorHAnsi" w:cstheme="minorBidi"/>
          <w:color w:val="000000"/>
          <w:spacing w:val="20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6,435,434.82</w:t>
      </w:r>
    </w:p>
    <w:p>
      <w:pPr>
        <w:framePr w:w="3764" w:x="2043" w:y="42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内部交易未实现利润</w:t>
      </w:r>
      <w:r>
        <w:rPr>
          <w:rFonts w:eastAsiaTheme="minorEastAsia" w:hAnsiTheme="minorHAnsi" w:cstheme="minorBidi"/>
          <w:color w:val="000000"/>
          <w:spacing w:val="3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2,643,181.05</w:t>
      </w:r>
    </w:p>
    <w:p>
      <w:pPr>
        <w:framePr w:w="1296" w:x="6107" w:y="42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396,477.17</w:t>
      </w:r>
    </w:p>
    <w:p>
      <w:pPr>
        <w:framePr w:w="1296" w:x="6107" w:y="4293"/>
        <w:widowControl w:val="0"/>
        <w:autoSpaceDE w:val="0"/>
        <w:autoSpaceDN w:val="0"/>
        <w:spacing w:before="8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42,657.87</w:t>
      </w:r>
    </w:p>
    <w:p>
      <w:pPr>
        <w:framePr w:w="1296" w:x="6107" w:y="4293"/>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169,375.22</w:t>
      </w:r>
    </w:p>
    <w:p>
      <w:pPr>
        <w:framePr w:w="1507" w:x="7801" w:y="42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6,068,363.68</w:t>
      </w:r>
    </w:p>
    <w:p>
      <w:pPr>
        <w:framePr w:w="1507" w:x="7801" w:y="4293"/>
        <w:widowControl w:val="0"/>
        <w:autoSpaceDE w:val="0"/>
        <w:autoSpaceDN w:val="0"/>
        <w:spacing w:before="84"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162.12</w:t>
      </w:r>
    </w:p>
    <w:p>
      <w:pPr>
        <w:framePr w:w="1296" w:x="9583" w:y="42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978,527.49</w:t>
      </w:r>
    </w:p>
    <w:p>
      <w:pPr>
        <w:framePr w:w="1296" w:x="9583" w:y="4293"/>
        <w:widowControl w:val="0"/>
        <w:autoSpaceDE w:val="0"/>
        <w:autoSpaceDN w:val="0"/>
        <w:spacing w:before="84"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8.11</w:t>
      </w:r>
    </w:p>
    <w:p>
      <w:pPr>
        <w:framePr w:w="1507" w:x="2254" w:y="4593"/>
        <w:widowControl w:val="0"/>
        <w:autoSpaceDE w:val="0"/>
        <w:autoSpaceDN w:val="0"/>
        <w:spacing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可抵扣亏损</w:t>
      </w:r>
    </w:p>
    <w:p>
      <w:pPr>
        <w:framePr w:w="1507" w:x="2254" w:y="4593"/>
        <w:widowControl w:val="0"/>
        <w:autoSpaceDE w:val="0"/>
        <w:autoSpaceDN w:val="0"/>
        <w:spacing w:before="84"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1507" w:x="2254" w:y="4593"/>
        <w:widowControl w:val="0"/>
        <w:autoSpaceDE w:val="0"/>
        <w:autoSpaceDN w:val="0"/>
        <w:spacing w:before="85"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1507" w:x="2254" w:y="4593"/>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公允价值变动</w:t>
      </w:r>
    </w:p>
    <w:p>
      <w:pPr>
        <w:framePr w:w="1507" w:x="2254" w:y="4593"/>
        <w:widowControl w:val="0"/>
        <w:autoSpaceDE w:val="0"/>
        <w:autoSpaceDN w:val="0"/>
        <w:spacing w:before="84"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4513" w:y="45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852,106.84</w:t>
      </w:r>
    </w:p>
    <w:p>
      <w:pPr>
        <w:framePr w:w="1507" w:x="4304" w:y="48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1,129,168.08</w:t>
      </w:r>
    </w:p>
    <w:p>
      <w:pPr>
        <w:framePr w:w="3181" w:x="7696" w:y="48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12,152,472.17</w:t>
      </w:r>
      <w:r>
        <w:rPr>
          <w:rFonts w:ascii="SimSun" w:eastAsiaTheme="minorEastAsia" w:hAnsiTheme="minorHAnsi" w:cstheme="minorBidi"/>
          <w:color w:val="000000"/>
          <w:spacing w:val="20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1,822,870.82</w:t>
      </w:r>
    </w:p>
    <w:p>
      <w:pPr>
        <w:framePr w:w="1190" w:x="4619" w:y="54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1085" w:x="6318" w:y="54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9,869.33</w:t>
      </w:r>
    </w:p>
    <w:p>
      <w:pPr>
        <w:framePr w:w="3075" w:x="7801" w:y="54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r>
        <w:rPr>
          <w:rFonts w:ascii="SimSun" w:eastAsiaTheme="minorEastAsia" w:hAnsiTheme="minorHAnsi" w:cstheme="minorBidi"/>
          <w:color w:val="000000"/>
          <w:spacing w:val="4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494,590.59</w:t>
      </w:r>
    </w:p>
    <w:p>
      <w:pPr>
        <w:framePr w:w="3202" w:x="4199" w:y="57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37,312,269.69</w:t>
      </w:r>
      <w:r>
        <w:rPr>
          <w:rFonts w:ascii="SimSun" w:eastAsiaTheme="minorEastAsia" w:hAnsiTheme="minorHAnsi" w:cstheme="minorBidi"/>
          <w:color w:val="000000"/>
          <w:spacing w:val="2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5,754,148.02</w:t>
      </w:r>
    </w:p>
    <w:p>
      <w:pPr>
        <w:framePr w:w="3181" w:x="7696" w:y="57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62,654,102.97</w:t>
      </w:r>
      <w:r>
        <w:rPr>
          <w:rFonts w:ascii="SimSun" w:eastAsiaTheme="minorEastAsia" w:hAnsiTheme="minorHAnsi" w:cstheme="minorBidi"/>
          <w:color w:val="000000"/>
          <w:spacing w:val="20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9,731,431.83</w:t>
      </w:r>
    </w:p>
    <w:p>
      <w:pPr>
        <w:framePr w:w="3197" w:x="1798" w:y="61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未经抵销的递延所得税负债</w:t>
      </w:r>
    </w:p>
    <w:p>
      <w:pPr>
        <w:framePr w:w="1817" w:x="1798" w:y="6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9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6984"/>
        <w:widowControl w:val="0"/>
        <w:autoSpaceDE w:val="0"/>
        <w:autoSpaceDN w:val="0"/>
        <w:spacing w:before="77" w:line="211" w:lineRule="exact"/>
        <w:ind w:left="50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773" w:y="72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2650" w:y="7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4825" w:y="75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应纳税暂时性</w:t>
      </w:r>
    </w:p>
    <w:p>
      <w:pPr>
        <w:framePr w:w="1296" w:x="6489" w:y="75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递延所得税</w:t>
      </w:r>
    </w:p>
    <w:p>
      <w:pPr>
        <w:framePr w:w="1296" w:x="6489" w:y="7563"/>
        <w:widowControl w:val="0"/>
        <w:autoSpaceDE w:val="0"/>
        <w:autoSpaceDN w:val="0"/>
        <w:spacing w:before="60" w:line="211" w:lineRule="exact"/>
        <w:ind w:left="31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负债</w:t>
      </w:r>
    </w:p>
    <w:p>
      <w:pPr>
        <w:framePr w:w="1507" w:x="7902" w:y="75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应纳税暂时性</w:t>
      </w:r>
    </w:p>
    <w:p>
      <w:pPr>
        <w:framePr w:w="1507" w:x="7902" w:y="7563"/>
        <w:widowControl w:val="0"/>
        <w:autoSpaceDE w:val="0"/>
        <w:autoSpaceDN w:val="0"/>
        <w:spacing w:before="6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差异</w:t>
      </w:r>
    </w:p>
    <w:p>
      <w:pPr>
        <w:framePr w:w="1296" w:x="9501" w:y="75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递延所得税</w:t>
      </w:r>
    </w:p>
    <w:p>
      <w:pPr>
        <w:framePr w:w="1296" w:x="9501" w:y="7563"/>
        <w:widowControl w:val="0"/>
        <w:autoSpaceDE w:val="0"/>
        <w:autoSpaceDN w:val="0"/>
        <w:spacing w:before="60" w:line="211" w:lineRule="exact"/>
        <w:ind w:left="31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负债</w:t>
      </w:r>
    </w:p>
    <w:p>
      <w:pPr>
        <w:framePr w:w="662" w:x="5245" w:y="78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差异</w:t>
      </w:r>
    </w:p>
    <w:p>
      <w:pPr>
        <w:framePr w:w="3408" w:x="1195" w:y="81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非同一控制企业合并资产评估增值</w:t>
      </w:r>
    </w:p>
    <w:p>
      <w:pPr>
        <w:framePr w:w="3408" w:x="1195" w:y="8117"/>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其他债权投资公允价值变动</w:t>
      </w:r>
    </w:p>
    <w:p>
      <w:pPr>
        <w:framePr w:w="3408" w:x="1195" w:y="8117"/>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其他权益工具投资公允价值变动</w:t>
      </w:r>
    </w:p>
    <w:p>
      <w:pPr>
        <w:framePr w:w="3408" w:x="1195" w:y="8117"/>
        <w:widowControl w:val="0"/>
        <w:autoSpaceDE w:val="0"/>
        <w:autoSpaceDN w:val="0"/>
        <w:spacing w:before="8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固定资产加速折旧</w:t>
      </w:r>
    </w:p>
    <w:p>
      <w:pPr>
        <w:framePr w:w="1296" w:x="5118" w:y="90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160,291.84</w:t>
      </w:r>
    </w:p>
    <w:p>
      <w:pPr>
        <w:framePr w:w="1190" w:x="6700" w:y="90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24,043.78</w:t>
      </w:r>
    </w:p>
    <w:p>
      <w:pPr>
        <w:framePr w:w="1296" w:x="8154" w:y="90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584,238.81</w:t>
      </w:r>
    </w:p>
    <w:p>
      <w:pPr>
        <w:framePr w:w="1296" w:x="8154" w:y="9003"/>
        <w:widowControl w:val="0"/>
        <w:autoSpaceDE w:val="0"/>
        <w:autoSpaceDN w:val="0"/>
        <w:spacing w:before="8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122,821.60</w:t>
      </w:r>
    </w:p>
    <w:p>
      <w:pPr>
        <w:framePr w:w="1190" w:x="9686" w:y="90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87,635.82</w:t>
      </w:r>
    </w:p>
    <w:p>
      <w:pPr>
        <w:framePr w:w="1190" w:x="9686" w:y="9003"/>
        <w:widowControl w:val="0"/>
        <w:autoSpaceDE w:val="0"/>
        <w:autoSpaceDN w:val="0"/>
        <w:spacing w:before="8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15,235.36</w:t>
      </w:r>
    </w:p>
    <w:p>
      <w:pPr>
        <w:framePr w:w="1507" w:x="1195" w:y="93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公允价值变动</w:t>
      </w:r>
    </w:p>
    <w:p>
      <w:pPr>
        <w:framePr w:w="3085" w:x="4803" w:y="92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10,384,715.04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1,686,042.15</w:t>
      </w:r>
    </w:p>
    <w:p>
      <w:pPr>
        <w:framePr w:w="3085" w:x="4803" w:y="9296"/>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10,545,006.88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1,710,085.93</w:t>
      </w:r>
    </w:p>
    <w:p>
      <w:pPr>
        <w:framePr w:w="662" w:x="2650" w:y="9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720" w:x="8154" w:y="95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707,060.41</w:t>
      </w:r>
      <w:r>
        <w:rPr>
          <w:rFonts w:ascii="SimSun"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102,871.18</w:t>
      </w:r>
    </w:p>
    <w:p>
      <w:pPr>
        <w:framePr w:w="4675" w:x="1798" w:y="10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以抵销后净额列示的递延所得税资产或负债</w:t>
      </w:r>
    </w:p>
    <w:p>
      <w:pPr>
        <w:framePr w:w="4675" w:x="1798" w:y="10006"/>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110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未确认递延所得税资产明细</w:t>
      </w:r>
    </w:p>
    <w:p>
      <w:pPr>
        <w:framePr w:w="3197" w:x="1798" w:y="110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864"/>
        <w:widowControl w:val="0"/>
        <w:autoSpaceDE w:val="0"/>
        <w:autoSpaceDN w:val="0"/>
        <w:spacing w:before="79" w:line="211" w:lineRule="exact"/>
        <w:ind w:left="46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930" w:x="1798" w:y="12154"/>
        <w:widowControl w:val="0"/>
        <w:autoSpaceDE w:val="0"/>
        <w:autoSpaceDN w:val="0"/>
        <w:spacing w:line="211" w:lineRule="exact"/>
        <w:ind w:left="112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30" w:x="1798" w:y="12154"/>
        <w:widowControl w:val="0"/>
        <w:autoSpaceDE w:val="0"/>
        <w:autoSpaceDN w:val="0"/>
        <w:spacing w:before="8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可抵扣暂时性差异</w:t>
      </w:r>
    </w:p>
    <w:p>
      <w:pPr>
        <w:framePr w:w="1930" w:x="1798" w:y="12154"/>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可抵扣亏损</w:t>
      </w:r>
    </w:p>
    <w:p>
      <w:pPr>
        <w:framePr w:w="1085" w:x="5701" w:y="121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6188" w:y="12443"/>
        <w:widowControl w:val="0"/>
        <w:autoSpaceDE w:val="0"/>
        <w:autoSpaceDN w:val="0"/>
        <w:spacing w:line="211" w:lineRule="exact"/>
        <w:ind w:left="31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579,200.60</w:t>
      </w:r>
    </w:p>
    <w:p>
      <w:pPr>
        <w:framePr w:w="1613" w:x="6188" w:y="12443"/>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25,346,300.48</w:t>
      </w:r>
    </w:p>
    <w:p>
      <w:pPr>
        <w:framePr w:w="1613" w:x="6188" w:y="12443"/>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25,925,501.08</w:t>
      </w:r>
    </w:p>
    <w:p>
      <w:pPr>
        <w:framePr w:w="1190" w:x="9688" w:y="124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23,183.84</w:t>
      </w:r>
    </w:p>
    <w:p>
      <w:pPr>
        <w:framePr w:w="1507" w:x="9374" w:y="127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8,737,172.93</w:t>
      </w:r>
    </w:p>
    <w:p>
      <w:pPr>
        <w:framePr w:w="1507" w:x="9374" w:y="12738"/>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8,760,356.77</w:t>
      </w:r>
    </w:p>
    <w:p>
      <w:pPr>
        <w:framePr w:w="662" w:x="2924" w:y="130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5731" w:x="1798" w:y="13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(5).</w:t>
      </w:r>
      <w:r>
        <w:rPr>
          <w:rFonts w:ascii="SimSun" w:hAnsi="SimSun" w:eastAsiaTheme="minorEastAsia" w:cs="SimSun"/>
          <w:color w:val="000000"/>
          <w:spacing w:val="1"/>
          <w:sz w:val="21"/>
          <w:szCs w:val="22"/>
          <w:lang w:val="en-US" w:eastAsia="en-US" w:bidi="ar-SA"/>
        </w:rPr>
        <w:t>未确认递延所得税资产的可抵扣亏损将于以下年度到期</w:t>
      </w:r>
    </w:p>
    <w:p>
      <w:pPr>
        <w:framePr w:w="1817" w:x="1798" w:y="139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65" w:y="142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265" w:y="14248"/>
        <w:widowControl w:val="0"/>
        <w:autoSpaceDE w:val="0"/>
        <w:autoSpaceDN w:val="0"/>
        <w:spacing w:before="79" w:line="211" w:lineRule="exact"/>
        <w:ind w:left="108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p>
    <w:p>
      <w:pPr>
        <w:framePr w:w="662" w:x="2520" w:y="145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年份</w:t>
      </w:r>
    </w:p>
    <w:p>
      <w:pPr>
        <w:framePr w:w="1085" w:x="4496" w:y="145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期末金额</w:t>
      </w:r>
    </w:p>
    <w:p>
      <w:pPr>
        <w:framePr w:w="1716" w:x="6803" w:y="145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期初金额</w:t>
      </w:r>
    </w:p>
    <w:p>
      <w:pPr>
        <w:framePr w:w="1716" w:x="6803" w:y="14538"/>
        <w:widowControl w:val="0"/>
        <w:autoSpaceDE w:val="0"/>
        <w:autoSpaceDN w:val="0"/>
        <w:spacing w:before="77" w:line="211" w:lineRule="exact"/>
        <w:ind w:left="10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34,948,691.73</w:t>
      </w:r>
    </w:p>
    <w:p>
      <w:pPr>
        <w:framePr w:w="662" w:x="1798" w:y="148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2024</w:t>
      </w:r>
    </w:p>
    <w:p>
      <w:pPr>
        <w:framePr w:w="662" w:x="1798" w:y="1482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2025</w:t>
      </w:r>
    </w:p>
    <w:p>
      <w:pPr>
        <w:framePr w:w="1613" w:x="4587" w:y="148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34,948,691.73</w:t>
      </w:r>
    </w:p>
    <w:p>
      <w:pPr>
        <w:framePr w:w="1613" w:x="4587" w:y="1482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66,436,510.18</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51" type="#_x0000_t75" style="width:445.6pt;height:2.7pt;margin-top:53.65pt;margin-left:87.45pt;mso-position-horizontal-relative:page;mso-position-vertical-relative:page;position:absolute;z-index:-251185152">
            <v:imagedata r:id="rId266" o:title=""/>
          </v:shape>
        </w:pict>
      </w:r>
      <w:r>
        <w:rPr>
          <w:noProof/>
        </w:rPr>
        <w:pict>
          <v:shape id="_x0000_s1352" type="#_x0000_t75" style="width:455.1pt;height:148.2pt;margin-top:154.45pt;margin-left:83.25pt;mso-position-horizontal-relative:page;mso-position-vertical-relative:page;position:absolute;z-index:-251205632">
            <v:imagedata r:id="rId267" o:title=""/>
          </v:shape>
        </w:pict>
      </w:r>
      <w:r>
        <w:rPr>
          <w:noProof/>
        </w:rPr>
        <w:pict>
          <v:shape id="_x0000_s1353" type="#_x0000_t75" style="width:485pt;height:133.4pt;margin-top:360.4pt;margin-left:53.25pt;mso-position-horizontal-relative:page;mso-position-vertical-relative:page;position:absolute;z-index:-251266048">
            <v:imagedata r:id="rId268" o:title=""/>
          </v:shape>
        </w:pict>
      </w:r>
      <w:r>
        <w:rPr>
          <w:noProof/>
        </w:rPr>
        <w:pict>
          <v:shape id="_x0000_s1354" type="#_x0000_t75" style="width:454.95pt;height:61.55pt;margin-top:604.4pt;margin-left:83.25pt;mso-position-horizontal-relative:page;mso-position-vertical-relative:page;position:absolute;z-index:-251364352">
            <v:imagedata r:id="rId269" o:title=""/>
          </v:shape>
        </w:pict>
      </w:r>
      <w:r>
        <w:rPr>
          <w:noProof/>
        </w:rPr>
        <w:pict>
          <v:shape id="_x0000_s1355" type="#_x0000_t75" style="width:454.95pt;height:45.45pt;margin-top:723.6pt;margin-left:83.25pt;mso-position-horizontal-relative:page;mso-position-vertical-relative:page;position:absolute;z-index:-251505664">
            <v:imagedata r:id="rId270" o:title=""/>
          </v:shape>
        </w:pict>
      </w:r>
    </w:p>
    <w:p>
      <w:pPr>
        <w:spacing w:line="0" w:lineRule="atLeast"/>
        <w:rPr>
          <w:rFonts w:ascii="Arial" w:eastAsiaTheme="minorEastAsia" w:hAnsiTheme="minorHAnsi" w:cstheme="minorBidi"/>
          <w:color w:val="FF0000"/>
          <w:sz w:val="2"/>
          <w:szCs w:val="22"/>
          <w:lang w:val="en-US" w:eastAsia="en-US" w:bidi="ar-SA"/>
        </w:rPr>
      </w:pPr>
      <w:bookmarkStart w:id="150" w:name="br1_149"/>
      <w:bookmarkEnd w:id="15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2520" w:y="15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448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101,385,201.91</w:t>
      </w:r>
    </w:p>
    <w:p>
      <w:pPr>
        <w:framePr w:w="1613" w:x="6911"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34,948,691.73</w:t>
      </w:r>
    </w:p>
    <w:p>
      <w:pPr>
        <w:framePr w:w="346" w:x="950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296" w:x="1798" w:y="19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2222" w:x="1798" w:y="24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22" w:x="1798" w:y="249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其他非流动资产</w:t>
      </w:r>
    </w:p>
    <w:p>
      <w:pPr>
        <w:framePr w:w="2222" w:x="1798" w:y="249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40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4075"/>
        <w:widowControl w:val="0"/>
        <w:autoSpaceDE w:val="0"/>
        <w:autoSpaceDN w:val="0"/>
        <w:spacing w:before="72" w:line="211" w:lineRule="exact"/>
        <w:ind w:left="57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4355" w:y="43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4355" w:y="435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662" w:x="1376" w:y="4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2938"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5771"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7473"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8892"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1085" w:x="10310"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507" w:x="775" w:y="49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合同取得成本</w:t>
      </w:r>
    </w:p>
    <w:p>
      <w:pPr>
        <w:framePr w:w="1507" w:x="775" w:y="4922"/>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合同履约成本</w:t>
      </w:r>
    </w:p>
    <w:p>
      <w:pPr>
        <w:framePr w:w="1507" w:x="775" w:y="492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应收退货成本</w:t>
      </w:r>
    </w:p>
    <w:p>
      <w:pPr>
        <w:framePr w:w="1507" w:x="775" w:y="492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1718" w:x="775" w:y="60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预付土地保证金</w:t>
      </w:r>
    </w:p>
    <w:p>
      <w:pPr>
        <w:framePr w:w="1718" w:x="775" w:y="605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及土地款</w:t>
      </w:r>
    </w:p>
    <w:p>
      <w:pPr>
        <w:framePr w:w="1613" w:x="2729" w:y="60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24,250,000.00</w:t>
      </w:r>
    </w:p>
    <w:p>
      <w:pPr>
        <w:framePr w:w="1613" w:x="2729" w:y="6053"/>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14,936,319.40</w:t>
      </w:r>
    </w:p>
    <w:p>
      <w:pPr>
        <w:framePr w:w="1613" w:x="2729" w:y="6053"/>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39,186,319.40</w:t>
      </w:r>
    </w:p>
    <w:p>
      <w:pPr>
        <w:framePr w:w="3308" w:x="5564" w:y="60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24,250,000.00</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24,250,000.00</w:t>
      </w:r>
    </w:p>
    <w:p>
      <w:pPr>
        <w:framePr w:w="1613" w:x="10101" w:y="60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24,250,000.00</w:t>
      </w:r>
    </w:p>
    <w:p>
      <w:pPr>
        <w:framePr w:w="1296" w:x="775" w:y="66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预付设备款</w:t>
      </w:r>
    </w:p>
    <w:p>
      <w:pPr>
        <w:framePr w:w="1296" w:x="775" w:y="660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预付购房款</w:t>
      </w:r>
    </w:p>
    <w:p>
      <w:pPr>
        <w:framePr w:w="1296" w:x="775" w:y="6608"/>
        <w:widowControl w:val="0"/>
        <w:autoSpaceDE w:val="0"/>
        <w:autoSpaceDN w:val="0"/>
        <w:spacing w:before="70" w:line="211" w:lineRule="exact"/>
        <w:ind w:left="60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308" w:x="5564" w:y="66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14,936,319.40</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19,630,998.64</w:t>
      </w:r>
    </w:p>
    <w:p>
      <w:pPr>
        <w:framePr w:w="3308" w:x="5564" w:y="6608"/>
        <w:widowControl w:val="0"/>
        <w:autoSpaceDE w:val="0"/>
        <w:autoSpaceDN w:val="0"/>
        <w:spacing w:before="72" w:line="211" w:lineRule="exact"/>
        <w:ind w:left="180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4,261,668.00</w:t>
      </w:r>
    </w:p>
    <w:p>
      <w:pPr>
        <w:framePr w:w="1613" w:x="10101" w:y="66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19,630,998.64</w:t>
      </w:r>
    </w:p>
    <w:p>
      <w:pPr>
        <w:framePr w:w="1613" w:x="10101" w:y="660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4,261,668.00</w:t>
      </w:r>
    </w:p>
    <w:p>
      <w:pPr>
        <w:framePr w:w="1613" w:x="10101" w:y="660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48,142,666.64</w:t>
      </w:r>
    </w:p>
    <w:p>
      <w:pPr>
        <w:framePr w:w="3308" w:x="5564" w:y="71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39,186,319.40</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48,142,666.64</w:t>
      </w:r>
    </w:p>
    <w:p>
      <w:pPr>
        <w:framePr w:w="1296" w:x="1798" w:y="7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8649" w:x="2218" w:y="78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2013</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16</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日，潍坊先达与山东潍坊滨海经济技术开发区管委会（以下简称“滨海管</w:t>
      </w:r>
    </w:p>
    <w:p>
      <w:pPr>
        <w:framePr w:w="9078" w:x="1798" w:y="82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委会”）签订“高效生物植保新材料”项目合同书，根据合同条款，项目总用地</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325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2"/>
          <w:sz w:val="21"/>
          <w:szCs w:val="22"/>
          <w:lang w:val="en-US" w:eastAsia="en-US" w:bidi="ar-SA"/>
        </w:rPr>
        <w:t>亩，潍坊先</w:t>
      </w:r>
    </w:p>
    <w:p>
      <w:pPr>
        <w:framePr w:w="9078" w:x="1798" w:y="8256"/>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达自合同签订之日起</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个工作日内，向滨海管委会交纳保证金</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1,625.00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3"/>
          <w:sz w:val="21"/>
          <w:szCs w:val="22"/>
          <w:lang w:val="en-US" w:eastAsia="en-US" w:bidi="ar-SA"/>
        </w:rPr>
        <w:t>万元。潍坊先达于</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2013</w:t>
      </w:r>
    </w:p>
    <w:p>
      <w:pPr>
        <w:framePr w:w="9078" w:x="1798" w:y="8256"/>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日向山东潍坊滨海经济开发区财政国库集中支付中心交纳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1,625.00</w:t>
      </w:r>
      <w:r>
        <w:rPr>
          <w:rFonts w:ascii="SimSun" w:hAnsi="SimSun" w:eastAsiaTheme="minorEastAsia" w:cs="SimSun"/>
          <w:color w:val="000000"/>
          <w:sz w:val="21"/>
          <w:szCs w:val="22"/>
          <w:lang w:val="en-US" w:eastAsia="en-US" w:bidi="ar-SA"/>
        </w:rPr>
        <w:t>万元保证金，</w:t>
      </w:r>
      <w:r>
        <w:rPr>
          <w:rFonts w:ascii="SimSun" w:eastAsiaTheme="minorEastAsia" w:hAnsiTheme="minorHAnsi" w:cstheme="minorBidi"/>
          <w:color w:val="000000"/>
          <w:sz w:val="21"/>
          <w:szCs w:val="22"/>
          <w:lang w:val="en-US" w:eastAsia="en-US" w:bidi="ar-SA"/>
        </w:rPr>
        <w:t>2014</w:t>
      </w:r>
    </w:p>
    <w:p>
      <w:pPr>
        <w:framePr w:w="9078" w:x="1798" w:y="825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w:t>
      </w:r>
      <w:r>
        <w:rPr>
          <w:rFonts w:ascii="SimSun" w:hAnsi="SimSun" w:eastAsiaTheme="minorEastAsia" w:cs="SimSun"/>
          <w:color w:val="000000"/>
          <w:sz w:val="21"/>
          <w:szCs w:val="22"/>
          <w:lang w:val="en-US" w:eastAsia="en-US" w:bidi="ar-SA"/>
        </w:rPr>
        <w:t>日向山东潍坊滨海经济开发区财政国库集中支付中心交纳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300.00</w:t>
      </w:r>
      <w:r>
        <w:rPr>
          <w:rFonts w:ascii="SimSun" w:hAnsi="SimSun" w:eastAsiaTheme="minorEastAsia" w:cs="SimSun"/>
          <w:color w:val="000000"/>
          <w:sz w:val="21"/>
          <w:szCs w:val="22"/>
          <w:lang w:val="en-US" w:eastAsia="en-US" w:bidi="ar-SA"/>
        </w:rPr>
        <w:t>万元土地款，</w:t>
      </w:r>
      <w:r>
        <w:rPr>
          <w:rFonts w:ascii="SimSun" w:eastAsiaTheme="minorEastAsia" w:hAnsiTheme="minorHAnsi" w:cstheme="minorBidi"/>
          <w:color w:val="000000"/>
          <w:sz w:val="21"/>
          <w:szCs w:val="22"/>
          <w:lang w:val="en-US" w:eastAsia="en-US" w:bidi="ar-SA"/>
        </w:rPr>
        <w:t>2014</w:t>
      </w:r>
      <w:r>
        <w:rPr>
          <w:rFonts w:ascii="SimSun" w:hAnsi="SimSun" w:eastAsiaTheme="minorEastAsia" w:cs="SimSun"/>
          <w:color w:val="000000"/>
          <w:sz w:val="21"/>
          <w:szCs w:val="22"/>
          <w:lang w:val="en-US" w:eastAsia="en-US" w:bidi="ar-SA"/>
        </w:rPr>
        <w:t>年</w:t>
      </w:r>
    </w:p>
    <w:p>
      <w:pPr>
        <w:framePr w:w="9078" w:x="1798" w:y="8256"/>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16</w:t>
      </w:r>
      <w:r>
        <w:rPr>
          <w:rFonts w:ascii="SimSun" w:hAnsi="SimSun" w:eastAsiaTheme="minorEastAsia" w:cs="SimSun"/>
          <w:color w:val="000000"/>
          <w:sz w:val="21"/>
          <w:szCs w:val="22"/>
          <w:lang w:val="en-US" w:eastAsia="en-US" w:bidi="ar-SA"/>
        </w:rPr>
        <w:t>日向山东潍坊滨海经济开发区财政国库集中支付中心交纳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500.00</w:t>
      </w:r>
      <w:r>
        <w:rPr>
          <w:rFonts w:ascii="SimSun" w:hAnsi="SimSun" w:eastAsiaTheme="minorEastAsia" w:cs="SimSun"/>
          <w:color w:val="000000"/>
          <w:sz w:val="21"/>
          <w:szCs w:val="22"/>
          <w:lang w:val="en-US" w:eastAsia="en-US" w:bidi="ar-SA"/>
        </w:rPr>
        <w:t>万元土地款；截止</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p>
    <w:p>
      <w:pPr>
        <w:framePr w:w="9078" w:x="1798" w:y="825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日尚未进行招拍挂。</w:t>
      </w:r>
    </w:p>
    <w:p>
      <w:pPr>
        <w:framePr w:w="1589" w:x="1798" w:y="108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短期借款</w:t>
      </w:r>
    </w:p>
    <w:p>
      <w:pPr>
        <w:framePr w:w="1934" w:x="1798" w:y="111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短期借款分类</w:t>
      </w:r>
    </w:p>
    <w:p>
      <w:pPr>
        <w:framePr w:w="1817" w:x="1798" w:y="114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7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2993" w:y="120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5720" w:y="120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8730" w:y="120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1798" w:y="123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质押借款</w:t>
      </w:r>
    </w:p>
    <w:p>
      <w:pPr>
        <w:framePr w:w="1085" w:x="1798" w:y="1233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抵押借款</w:t>
      </w:r>
    </w:p>
    <w:p>
      <w:pPr>
        <w:framePr w:w="1085" w:x="1798" w:y="1233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保证借款</w:t>
      </w:r>
    </w:p>
    <w:p>
      <w:pPr>
        <w:framePr w:w="1085" w:x="1798" w:y="1233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信用借款</w:t>
      </w:r>
    </w:p>
    <w:p>
      <w:pPr>
        <w:framePr w:w="1296" w:x="9400" w:y="126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w:t>
      </w:r>
    </w:p>
    <w:p>
      <w:pPr>
        <w:framePr w:w="1296" w:x="9400" w:y="131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w:t>
      </w:r>
    </w:p>
    <w:p>
      <w:pPr>
        <w:framePr w:w="1296" w:x="9400" w:y="1317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w:t>
      </w:r>
    </w:p>
    <w:p>
      <w:pPr>
        <w:framePr w:w="662" w:x="2993" w:y="13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352" w:x="1798" w:y="138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短期借款分类的说明：</w:t>
      </w:r>
    </w:p>
    <w:p>
      <w:pPr>
        <w:framePr w:w="2352" w:x="1798" w:y="1386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56" type="#_x0000_t75" style="width:445.6pt;height:2.7pt;margin-top:53.65pt;margin-left:87.45pt;mso-position-horizontal-relative:page;mso-position-vertical-relative:page;position:absolute;z-index:-251204608">
            <v:imagedata r:id="rId271" o:title=""/>
          </v:shape>
        </w:pict>
      </w:r>
      <w:r>
        <w:rPr>
          <w:noProof/>
        </w:rPr>
        <w:pict>
          <v:shape id="_x0000_s1357" type="#_x0000_t75" style="width:454.95pt;height:17.4pt;margin-top:74.3pt;margin-left:83.25pt;mso-position-horizontal-relative:page;mso-position-vertical-relative:page;position:absolute;z-index:-251265024">
            <v:imagedata r:id="rId272" o:title=""/>
          </v:shape>
        </w:pict>
      </w:r>
      <w:r>
        <w:rPr>
          <w:noProof/>
        </w:rPr>
        <w:pict>
          <v:shape id="_x0000_s1358" type="#_x0000_t75" style="width:548.35pt;height:157.3pt;margin-top:214.95pt;margin-left:31.9pt;mso-position-horizontal-relative:page;mso-position-vertical-relative:page;position:absolute;z-index:-251363328">
            <v:imagedata r:id="rId273" o:title=""/>
          </v:shape>
        </w:pict>
      </w:r>
      <w:r>
        <w:rPr>
          <w:noProof/>
        </w:rPr>
        <w:pict>
          <v:shape id="_x0000_s1359" type="#_x0000_t75" style="width:447.3pt;height:87.25pt;margin-top:599.35pt;margin-left:87.1pt;mso-position-horizontal-relative:page;mso-position-vertical-relative:page;position:absolute;z-index:-251504640">
            <v:imagedata r:id="rId274" o:title=""/>
          </v:shape>
        </w:pict>
      </w:r>
    </w:p>
    <w:p>
      <w:pPr>
        <w:spacing w:line="0" w:lineRule="atLeast"/>
        <w:rPr>
          <w:rFonts w:ascii="Arial" w:eastAsiaTheme="minorEastAsia" w:hAnsiTheme="minorHAnsi" w:cstheme="minorBidi"/>
          <w:color w:val="FF0000"/>
          <w:sz w:val="2"/>
          <w:szCs w:val="22"/>
          <w:lang w:val="en-US" w:eastAsia="en-US" w:bidi="ar-SA"/>
        </w:rPr>
      </w:pPr>
      <w:bookmarkStart w:id="151" w:name="br1_150"/>
      <w:bookmarkEnd w:id="15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408"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已逾期未偿还的短期借款情况</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75"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其中重要的已逾期未偿还的短期借款情况如下：</w:t>
      </w:r>
    </w:p>
    <w:p>
      <w:pPr>
        <w:framePr w:w="4675"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22"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交易性金融负债</w:t>
      </w:r>
    </w:p>
    <w:p>
      <w:pPr>
        <w:framePr w:w="2222" w:x="1798" w:y="47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922" w:x="1798" w:y="6048"/>
        <w:widowControl w:val="0"/>
        <w:autoSpaceDE w:val="0"/>
        <w:autoSpaceDN w:val="0"/>
        <w:spacing w:line="211" w:lineRule="exact"/>
        <w:ind w:left="116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22" w:x="1798" w:y="60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922" w:x="1798" w:y="60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922" w:x="1798" w:y="6048"/>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085" w:x="5027" w:y="6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592" w:y="6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8152" w:y="6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628" w:y="6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507" w:x="4856" w:y="68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2748" w:x="6736" w:y="68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3,297,270.60</w:t>
      </w:r>
    </w:p>
    <w:p>
      <w:pPr>
        <w:framePr w:w="2748" w:x="6736" w:y="6895"/>
        <w:widowControl w:val="0"/>
        <w:autoSpaceDE w:val="0"/>
        <w:autoSpaceDN w:val="0"/>
        <w:spacing w:before="119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3,297,270.60</w:t>
      </w:r>
    </w:p>
    <w:p>
      <w:pPr>
        <w:framePr w:w="1190" w:x="9686" w:y="68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2986" w:x="1798" w:y="74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指定以公允价值计量且其变动</w:t>
      </w:r>
    </w:p>
    <w:p>
      <w:pPr>
        <w:framePr w:w="2563" w:x="1798" w:y="77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计入当期损益的金融负债</w:t>
      </w:r>
    </w:p>
    <w:p>
      <w:pPr>
        <w:framePr w:w="1829" w:x="1798" w:y="80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829" w:x="1798" w:y="8014"/>
        <w:widowControl w:val="0"/>
        <w:autoSpaceDE w:val="0"/>
        <w:autoSpaceDN w:val="0"/>
        <w:spacing w:before="72" w:line="211" w:lineRule="exact"/>
        <w:ind w:left="116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4856" w:y="82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190" w:x="9686" w:y="82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1296" w:x="1798" w:y="86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9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975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日，本公司未交割的远期结售汇合约共计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383.00</w:t>
      </w:r>
      <w:r>
        <w:rPr>
          <w:rFonts w:ascii="SimSun" w:hAnsi="SimSun" w:eastAsiaTheme="minorEastAsia" w:cs="SimSun"/>
          <w:color w:val="000000"/>
          <w:sz w:val="21"/>
          <w:szCs w:val="22"/>
          <w:lang w:val="en-US" w:eastAsia="en-US" w:bidi="ar-SA"/>
        </w:rPr>
        <w:t>万美元，根据未交割</w:t>
      </w:r>
    </w:p>
    <w:p>
      <w:pPr>
        <w:framePr w:w="9110" w:x="1798" w:y="97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的远期结售汇约定汇率与剩余交割时限确定的期末金融机构远期汇率报价的差额，计算得出远期</w:t>
      </w:r>
    </w:p>
    <w:p>
      <w:pPr>
        <w:framePr w:w="9110" w:x="1798" w:y="97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结售汇公允价值变动为</w:t>
      </w:r>
      <w:r>
        <w:rPr>
          <w:rFonts w:ascii="SimSun" w:eastAsiaTheme="minorEastAsia" w:hAnsiTheme="minorHAnsi" w:cstheme="minorBidi"/>
          <w:color w:val="000000"/>
          <w:sz w:val="21"/>
          <w:szCs w:val="22"/>
          <w:lang w:val="en-US" w:eastAsia="en-US" w:bidi="ar-SA"/>
        </w:rPr>
        <w:t>-65,795.50</w:t>
      </w:r>
      <w:r>
        <w:rPr>
          <w:rFonts w:ascii="SimSun" w:hAnsi="SimSun" w:eastAsiaTheme="minorEastAsia" w:cs="SimSun"/>
          <w:color w:val="000000"/>
          <w:sz w:val="21"/>
          <w:szCs w:val="22"/>
          <w:lang w:val="en-US" w:eastAsia="en-US" w:bidi="ar-SA"/>
        </w:rPr>
        <w:t>元人民币，即交易性金融负债增加</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65,795.50</w:t>
      </w:r>
      <w:r>
        <w:rPr>
          <w:rFonts w:ascii="SimSun" w:hAnsi="SimSun" w:eastAsiaTheme="minorEastAsia" w:cs="SimSun"/>
          <w:color w:val="000000"/>
          <w:sz w:val="21"/>
          <w:szCs w:val="22"/>
          <w:lang w:val="en-US" w:eastAsia="en-US" w:bidi="ar-SA"/>
        </w:rPr>
        <w:t>元人民币。</w:t>
      </w:r>
    </w:p>
    <w:p>
      <w:pPr>
        <w:framePr w:w="2011" w:x="1798" w:y="111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衍生金融负债</w:t>
      </w:r>
    </w:p>
    <w:p>
      <w:pPr>
        <w:framePr w:w="2011" w:x="1798" w:y="1110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1110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应付票据</w:t>
      </w:r>
    </w:p>
    <w:p>
      <w:pPr>
        <w:framePr w:w="1934" w:x="1798" w:y="126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应付票据列示</w:t>
      </w:r>
    </w:p>
    <w:p>
      <w:pPr>
        <w:framePr w:w="1817" w:x="1798" w:y="132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4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519" w:x="1798" w:y="13777"/>
        <w:widowControl w:val="0"/>
        <w:autoSpaceDE w:val="0"/>
        <w:autoSpaceDN w:val="0"/>
        <w:spacing w:line="211" w:lineRule="exact"/>
        <w:ind w:left="85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种类</w:t>
      </w:r>
    </w:p>
    <w:p>
      <w:pPr>
        <w:framePr w:w="1519" w:x="1798" w:y="13777"/>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商业承兑汇票</w:t>
      </w:r>
    </w:p>
    <w:p>
      <w:pPr>
        <w:framePr w:w="1519" w:x="1798" w:y="1377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银行承兑汇票</w:t>
      </w:r>
    </w:p>
    <w:p>
      <w:pPr>
        <w:framePr w:w="1519" w:x="1798" w:y="13777"/>
        <w:widowControl w:val="0"/>
        <w:autoSpaceDE w:val="0"/>
        <w:autoSpaceDN w:val="0"/>
        <w:spacing w:before="77" w:line="211" w:lineRule="exact"/>
        <w:ind w:left="85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317" w:y="13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8668" w:y="13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726" w:x="5845" w:y="143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265,430,000.00</w:t>
      </w:r>
    </w:p>
    <w:p>
      <w:pPr>
        <w:framePr w:w="1726" w:x="5845" w:y="14351"/>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265,430,000.00</w:t>
      </w:r>
    </w:p>
    <w:p>
      <w:pPr>
        <w:framePr w:w="1718" w:x="9160" w:y="143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1718" w:x="9160" w:y="14351"/>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4813" w:x="1798" w:y="15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本期末已到期未支付的应付票据总额为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60" type="#_x0000_t75" style="width:445.6pt;height:2.7pt;margin-top:53.65pt;margin-left:87.45pt;mso-position-horizontal-relative:page;mso-position-vertical-relative:page;position:absolute;z-index:-251264000">
            <v:imagedata r:id="rId275" o:title=""/>
          </v:shape>
        </w:pict>
      </w:r>
      <w:r>
        <w:rPr>
          <w:noProof/>
        </w:rPr>
        <w:pict>
          <v:shape id="_x0000_s1361" type="#_x0000_t75" style="width:455.55pt;height:128.95pt;margin-top:299.45pt;margin-left:83pt;mso-position-horizontal-relative:page;mso-position-vertical-relative:page;position:absolute;z-index:-251362304">
            <v:imagedata r:id="rId276" o:title=""/>
          </v:shape>
        </w:pict>
      </w:r>
      <w:r>
        <w:rPr>
          <w:noProof/>
        </w:rPr>
        <w:pict>
          <v:shape id="_x0000_s1362" type="#_x0000_t75" style="width:455.2pt;height:60.2pt;margin-top:685.55pt;margin-left:83.15pt;mso-position-horizontal-relative:page;mso-position-vertical-relative:page;position:absolute;z-index:-251503616">
            <v:imagedata r:id="rId277" o:title=""/>
          </v:shape>
        </w:pict>
      </w:r>
    </w:p>
    <w:p>
      <w:pPr>
        <w:spacing w:line="0" w:lineRule="atLeast"/>
        <w:rPr>
          <w:rFonts w:ascii="Arial" w:eastAsiaTheme="minorEastAsia" w:hAnsiTheme="minorHAnsi" w:cstheme="minorBidi"/>
          <w:color w:val="FF0000"/>
          <w:sz w:val="2"/>
          <w:szCs w:val="22"/>
          <w:lang w:val="en-US" w:eastAsia="en-US" w:bidi="ar-SA"/>
        </w:rPr>
      </w:pPr>
      <w:bookmarkStart w:id="152" w:name="br1_151"/>
      <w:bookmarkEnd w:id="15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8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应付账款</w:t>
      </w:r>
    </w:p>
    <w:p>
      <w:pPr>
        <w:framePr w:w="1934"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应付账款列示</w:t>
      </w:r>
    </w:p>
    <w:p>
      <w:pPr>
        <w:framePr w:w="1934"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3122"/>
        <w:widowControl w:val="0"/>
        <w:autoSpaceDE w:val="0"/>
        <w:autoSpaceDN w:val="0"/>
        <w:spacing w:before="72" w:line="211" w:lineRule="exact"/>
        <w:ind w:left="3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764" w:x="1798" w:y="3405"/>
        <w:widowControl w:val="0"/>
        <w:autoSpaceDE w:val="0"/>
        <w:autoSpaceDN w:val="0"/>
        <w:spacing w:line="211" w:lineRule="exact"/>
        <w:ind w:left="110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764" w:x="1798" w:y="340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应付材料款</w:t>
      </w:r>
    </w:p>
    <w:p>
      <w:pPr>
        <w:framePr w:w="1764" w:x="1798" w:y="340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应付工程款</w:t>
      </w:r>
    </w:p>
    <w:p>
      <w:pPr>
        <w:framePr w:w="1764" w:x="1798" w:y="340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应付设备款</w:t>
      </w:r>
    </w:p>
    <w:p>
      <w:pPr>
        <w:framePr w:w="1764" w:x="1798" w:y="340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085" w:x="5543" w:y="3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5924" w:y="36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91,193,298.27</w:t>
      </w:r>
    </w:p>
    <w:p>
      <w:pPr>
        <w:framePr w:w="1718" w:x="9160" w:y="36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113,007,441.32</w:t>
      </w:r>
    </w:p>
    <w:p>
      <w:pPr>
        <w:framePr w:w="1718" w:x="9160" w:y="368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68,119,129.55</w:t>
      </w:r>
    </w:p>
    <w:p>
      <w:pPr>
        <w:framePr w:w="1718" w:x="9160" w:y="368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21,847,890.09</w:t>
      </w:r>
    </w:p>
    <w:p>
      <w:pPr>
        <w:framePr w:w="1718" w:x="9160" w:y="3686"/>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2,170,669.95</w:t>
      </w:r>
    </w:p>
    <w:p>
      <w:pPr>
        <w:framePr w:w="1613" w:x="5924" w:y="3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57,375,555.46</w:t>
      </w:r>
    </w:p>
    <w:p>
      <w:pPr>
        <w:framePr w:w="1613" w:x="5924" w:y="39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23,335,851.40</w:t>
      </w:r>
    </w:p>
    <w:p>
      <w:pPr>
        <w:framePr w:w="1613" w:x="5924" w:y="3969"/>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2,790,689.84</w:t>
      </w:r>
    </w:p>
    <w:p>
      <w:pPr>
        <w:framePr w:w="662" w:x="2900" w:y="48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5819" w:y="48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174,695,394.97</w:t>
      </w:r>
    </w:p>
    <w:p>
      <w:pPr>
        <w:framePr w:w="1718" w:x="9160" w:y="48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205,145,130.91</w:t>
      </w:r>
    </w:p>
    <w:p>
      <w:pPr>
        <w:framePr w:w="3410" w:x="1798" w:y="52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账龄超过</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1"/>
          <w:sz w:val="21"/>
          <w:szCs w:val="22"/>
          <w:lang w:val="en-US" w:eastAsia="en-US" w:bidi="ar-SA"/>
        </w:rPr>
        <w:t>年的重要应付账款</w:t>
      </w:r>
    </w:p>
    <w:p>
      <w:pPr>
        <w:framePr w:w="3410" w:x="1798" w:y="522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10" w:x="1798" w:y="522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68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680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预收款项</w:t>
      </w:r>
    </w:p>
    <w:p>
      <w:pPr>
        <w:framePr w:w="3511" w:x="1798" w:y="7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预收账款项列示</w:t>
      </w:r>
    </w:p>
    <w:p>
      <w:pPr>
        <w:framePr w:w="3511" w:x="1798" w:y="786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511" w:x="1798" w:y="786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账龄超过</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1"/>
          <w:sz w:val="21"/>
          <w:szCs w:val="22"/>
          <w:lang w:val="en-US" w:eastAsia="en-US" w:bidi="ar-SA"/>
        </w:rPr>
        <w:t>年的重要预收款项</w:t>
      </w:r>
    </w:p>
    <w:p>
      <w:pPr>
        <w:framePr w:w="3511" w:x="1798" w:y="786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511" w:x="1798" w:y="786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105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050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合同负债</w:t>
      </w:r>
    </w:p>
    <w:p>
      <w:pPr>
        <w:framePr w:w="1932" w:x="1798" w:y="115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合同负债情况</w:t>
      </w:r>
    </w:p>
    <w:p>
      <w:pPr>
        <w:framePr w:w="1932" w:x="1798" w:y="1156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26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2620"/>
        <w:widowControl w:val="0"/>
        <w:autoSpaceDE w:val="0"/>
        <w:autoSpaceDN w:val="0"/>
        <w:spacing w:before="70" w:line="211" w:lineRule="exact"/>
        <w:ind w:left="46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2720" w:y="12901"/>
        <w:widowControl w:val="0"/>
        <w:autoSpaceDE w:val="0"/>
        <w:autoSpaceDN w:val="0"/>
        <w:spacing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2720" w:y="1290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预收账款</w:t>
      </w:r>
    </w:p>
    <w:p>
      <w:pPr>
        <w:framePr w:w="1085" w:x="2720" w:y="12901"/>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706" w:y="129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718" w:x="6087" w:y="131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108,252,970.88</w:t>
      </w:r>
    </w:p>
    <w:p>
      <w:pPr>
        <w:framePr w:w="1718" w:x="6087" w:y="1318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108,252,970.88</w:t>
      </w:r>
    </w:p>
    <w:p>
      <w:pPr>
        <w:framePr w:w="1613" w:x="9266" w:y="131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82,730,306.24</w:t>
      </w:r>
    </w:p>
    <w:p>
      <w:pPr>
        <w:framePr w:w="1613" w:x="9266" w:y="1318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82,730,306.24</w:t>
      </w:r>
    </w:p>
    <w:p>
      <w:pPr>
        <w:framePr w:w="4886" w:x="1798" w:y="13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报告期内账面价值发生重大变动的金额和原因</w:t>
      </w:r>
    </w:p>
    <w:p>
      <w:pPr>
        <w:framePr w:w="1817" w:x="1798" w:y="143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4397"/>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63" type="#_x0000_t75" style="width:445.6pt;height:2.7pt;margin-top:53.65pt;margin-left:87.45pt;mso-position-horizontal-relative:page;mso-position-vertical-relative:page;position:absolute;z-index:-251262976">
            <v:imagedata r:id="rId278" o:title=""/>
          </v:shape>
        </w:pict>
      </w:r>
      <w:r>
        <w:rPr>
          <w:noProof/>
        </w:rPr>
        <w:pict>
          <v:shape id="_x0000_s1364" type="#_x0000_t75" style="width:454.95pt;height:87.2pt;margin-top:167.3pt;margin-left:83.25pt;mso-position-horizontal-relative:page;mso-position-vertical-relative:page;position:absolute;z-index:-251361280">
            <v:imagedata r:id="rId279" o:title=""/>
          </v:shape>
        </w:pict>
      </w:r>
      <w:r>
        <w:rPr>
          <w:noProof/>
        </w:rPr>
        <w:pict>
          <v:shape id="_x0000_s1365" type="#_x0000_t75" style="width:454.95pt;height:44.85pt;margin-top:642.1pt;margin-left:83.25pt;mso-position-horizontal-relative:page;mso-position-vertical-relative:page;position:absolute;z-index:-251502592">
            <v:imagedata r:id="rId280" o:title=""/>
          </v:shape>
        </w:pict>
      </w:r>
    </w:p>
    <w:p>
      <w:pPr>
        <w:spacing w:line="0" w:lineRule="atLeast"/>
        <w:rPr>
          <w:rFonts w:ascii="Arial" w:eastAsiaTheme="minorEastAsia" w:hAnsiTheme="minorHAnsi" w:cstheme="minorBidi"/>
          <w:color w:val="FF0000"/>
          <w:sz w:val="2"/>
          <w:szCs w:val="22"/>
          <w:lang w:val="en-US" w:eastAsia="en-US" w:bidi="ar-SA"/>
        </w:rPr>
      </w:pPr>
      <w:bookmarkStart w:id="153" w:name="br1_152"/>
      <w:bookmarkEnd w:id="15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354"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应付职工薪酬</w:t>
      </w:r>
    </w:p>
    <w:p>
      <w:pPr>
        <w:framePr w:w="2354"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应付职工薪酬列示</w:t>
      </w:r>
    </w:p>
    <w:p>
      <w:pPr>
        <w:framePr w:w="2354"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1535"/>
        <w:widowControl w:val="0"/>
        <w:autoSpaceDE w:val="0"/>
        <w:autoSpaceDN w:val="0"/>
        <w:spacing w:before="343" w:line="211" w:lineRule="exact"/>
        <w:ind w:left="67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721" w:x="4427" w:y="3396"/>
        <w:widowControl w:val="0"/>
        <w:autoSpaceDE w:val="0"/>
        <w:autoSpaceDN w:val="0"/>
        <w:spacing w:line="211" w:lineRule="exact"/>
        <w:ind w:left="389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721" w:x="4427" w:y="3396"/>
        <w:widowControl w:val="0"/>
        <w:autoSpaceDE w:val="0"/>
        <w:autoSpaceDN w:val="0"/>
        <w:spacing w:before="70" w:line="211" w:lineRule="exact"/>
        <w:ind w:left="361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r>
        <w:rPr>
          <w:rFonts w:eastAsiaTheme="minorEastAsia" w:hAnsiTheme="minorHAnsi" w:cstheme="minorBidi"/>
          <w:color w:val="000000"/>
          <w:spacing w:val="808"/>
          <w:sz w:val="21"/>
          <w:szCs w:val="22"/>
          <w:lang w:val="en-US" w:eastAsia="en-US" w:bidi="ar-SA"/>
        </w:rPr>
        <w:t xml:space="preserve"> </w:t>
      </w:r>
      <w:r>
        <w:rPr>
          <w:rFonts w:ascii="SimSun" w:hAnsi="SimSun" w:eastAsiaTheme="minorEastAsia" w:cs="SimSun"/>
          <w:color w:val="000000"/>
          <w:sz w:val="21"/>
          <w:szCs w:val="22"/>
          <w:lang w:val="en-US" w:eastAsia="en-US" w:bidi="ar-SA"/>
        </w:rPr>
        <w:t>期末余额</w:t>
      </w:r>
    </w:p>
    <w:p>
      <w:pPr>
        <w:framePr w:w="6721" w:x="4427" w:y="339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r>
        <w:rPr>
          <w:rFonts w:ascii="SimSun" w:eastAsiaTheme="minorEastAsia" w:hAnsiTheme="minorHAnsi" w:cstheme="minorBidi"/>
          <w:color w:val="000000"/>
          <w:spacing w:val="13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152,576,291.52</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140,906,341.05</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41,368,978.49</w:t>
      </w:r>
    </w:p>
    <w:p>
      <w:pPr>
        <w:framePr w:w="6721" w:x="4427" w:y="3396"/>
        <w:widowControl w:val="0"/>
        <w:autoSpaceDE w:val="0"/>
        <w:autoSpaceDN w:val="0"/>
        <w:spacing w:before="70" w:line="211" w:lineRule="exact"/>
        <w:ind w:left="202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737,620.92</w:t>
      </w:r>
      <w:r>
        <w:rPr>
          <w:rFonts w:ascii="SimSun" w:eastAsiaTheme="minorEastAsia" w:hAnsiTheme="minorHAnsi" w:cstheme="minorBidi"/>
          <w:color w:val="000000"/>
          <w:spacing w:val="54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737,620.92</w:t>
      </w:r>
    </w:p>
    <w:p>
      <w:pPr>
        <w:framePr w:w="1085" w:x="4674" w:y="36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335" w:y="36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507" w:x="1195" w:y="39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一、短期薪酬</w:t>
      </w:r>
    </w:p>
    <w:p>
      <w:pPr>
        <w:framePr w:w="3091" w:x="1195" w:y="4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二、离职后福利</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设定提存计划</w:t>
      </w:r>
    </w:p>
    <w:p>
      <w:pPr>
        <w:framePr w:w="3091" w:x="1195" w:y="42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三、辞退福利</w:t>
      </w:r>
    </w:p>
    <w:p>
      <w:pPr>
        <w:framePr w:w="2774" w:x="1195" w:y="48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四、一年内到期的其他福利</w:t>
      </w:r>
    </w:p>
    <w:p>
      <w:pPr>
        <w:framePr w:w="2774" w:x="1195" w:y="4807"/>
        <w:widowControl w:val="0"/>
        <w:autoSpaceDE w:val="0"/>
        <w:autoSpaceDN w:val="0"/>
        <w:spacing w:before="70" w:line="211" w:lineRule="exact"/>
        <w:ind w:left="128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6721" w:x="4427" w:y="50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r>
        <w:rPr>
          <w:rFonts w:ascii="SimSun" w:eastAsiaTheme="minorEastAsia" w:hAnsiTheme="minorHAnsi" w:cstheme="minorBidi"/>
          <w:color w:val="000000"/>
          <w:spacing w:val="13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153,313,912.44</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141,643,961.97</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41,368,978.49</w:t>
      </w:r>
    </w:p>
    <w:p>
      <w:pPr>
        <w:framePr w:w="1932" w:x="1798" w:y="54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短期薪酬列示</w:t>
      </w:r>
    </w:p>
    <w:p>
      <w:pPr>
        <w:framePr w:w="1817" w:x="1798" w:y="60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49" w:x="8425" w:y="65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662" w:x="2506" w:y="6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4640" w:y="6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414" w:y="6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8255" w:y="6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10027" w:y="6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4609" w:x="1337" w:y="71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一、工资、奖金、津贴和补贴</w:t>
      </w:r>
      <w:r>
        <w:rPr>
          <w:rFonts w:eastAsiaTheme="minorEastAsia" w:hAnsiTheme="minorHAnsi" w:cstheme="minorBidi"/>
          <w:color w:val="000000"/>
          <w:spacing w:val="2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13,753,951.68</w:t>
      </w:r>
    </w:p>
    <w:p>
      <w:pPr>
        <w:framePr w:w="4609" w:x="1337" w:y="711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二、职工福利费</w:t>
      </w:r>
    </w:p>
    <w:p>
      <w:pPr>
        <w:framePr w:w="5260" w:x="6171" w:y="71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134,935,098.44</w:t>
      </w:r>
      <w:r>
        <w:rPr>
          <w:rFonts w:ascii="SimSun"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125,869,711.80</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22,819,338.32</w:t>
      </w:r>
    </w:p>
    <w:p>
      <w:pPr>
        <w:framePr w:w="1507" w:x="6383" w:y="7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5,745,014.00</w:t>
      </w:r>
    </w:p>
    <w:p>
      <w:pPr>
        <w:framePr w:w="1507" w:x="6383" w:y="739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3,725,601.05</w:t>
      </w:r>
    </w:p>
    <w:p>
      <w:pPr>
        <w:framePr w:w="1507" w:x="6383" w:y="739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3,556,659.23</w:t>
      </w:r>
    </w:p>
    <w:p>
      <w:pPr>
        <w:framePr w:w="1507" w:x="6383" w:y="7395"/>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37,214.05</w:t>
      </w:r>
    </w:p>
    <w:p>
      <w:pPr>
        <w:framePr w:w="1507" w:x="8229" w:y="7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5,745,014.00</w:t>
      </w:r>
    </w:p>
    <w:p>
      <w:pPr>
        <w:framePr w:w="1718" w:x="1337" w:y="76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三、社会保险费</w:t>
      </w:r>
    </w:p>
    <w:p>
      <w:pPr>
        <w:framePr w:w="1507" w:x="8229" w:y="76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3,725,601.05</w:t>
      </w:r>
    </w:p>
    <w:p>
      <w:pPr>
        <w:framePr w:w="1930" w:x="1337" w:y="79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其中：医疗保险费</w:t>
      </w:r>
    </w:p>
    <w:p>
      <w:pPr>
        <w:framePr w:w="1507" w:x="8229" w:y="79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3,556,659.23</w:t>
      </w:r>
    </w:p>
    <w:p>
      <w:pPr>
        <w:framePr w:w="1296" w:x="1968" w:y="82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工伤保险费</w:t>
      </w:r>
    </w:p>
    <w:p>
      <w:pPr>
        <w:framePr w:w="1190" w:x="8543" w:y="82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37,214.05</w:t>
      </w:r>
    </w:p>
    <w:p>
      <w:pPr>
        <w:framePr w:w="1296" w:x="1968" w:y="85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生育保险费</w:t>
      </w:r>
    </w:p>
    <w:p>
      <w:pPr>
        <w:framePr w:w="1296" w:x="6592" w:y="85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131,727.77</w:t>
      </w:r>
    </w:p>
    <w:p>
      <w:pPr>
        <w:framePr w:w="1296" w:x="8437" w:y="85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131,727.77</w:t>
      </w:r>
    </w:p>
    <w:p>
      <w:pPr>
        <w:framePr w:w="1718" w:x="1337" w:y="88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四、住房公积金</w:t>
      </w:r>
    </w:p>
    <w:p>
      <w:pPr>
        <w:framePr w:w="1507" w:x="6383" w:y="88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3,413,337.70</w:t>
      </w:r>
    </w:p>
    <w:p>
      <w:pPr>
        <w:framePr w:w="1507" w:x="6383" w:y="880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4,757,240.33</w:t>
      </w:r>
    </w:p>
    <w:p>
      <w:pPr>
        <w:framePr w:w="1507" w:x="8229" w:y="88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3,413,337.70</w:t>
      </w:r>
    </w:p>
    <w:p>
      <w:pPr>
        <w:framePr w:w="4714" w:x="1337" w:y="90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五、工会经费和职工教育经费</w:t>
      </w:r>
      <w:r>
        <w:rPr>
          <w:rFonts w:eastAsiaTheme="minorEastAsia" w:hAnsiTheme="minorHAnsi" w:cstheme="minorBidi"/>
          <w:color w:val="000000"/>
          <w:spacing w:val="3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15,945,076.34</w:t>
      </w:r>
    </w:p>
    <w:p>
      <w:pPr>
        <w:framePr w:w="4714" w:x="1337" w:y="908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六、短期带薪缺勤</w:t>
      </w:r>
    </w:p>
    <w:p>
      <w:pPr>
        <w:framePr w:w="3202" w:x="8229" w:y="90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2,152,676.50</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18,549,640.17</w:t>
      </w:r>
    </w:p>
    <w:p>
      <w:pPr>
        <w:framePr w:w="2352" w:x="1337" w:y="96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七、短期利润分享计划</w:t>
      </w:r>
    </w:p>
    <w:p>
      <w:pPr>
        <w:framePr w:w="662" w:x="2506" w:y="9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6988" w:x="4443" w:y="99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r>
        <w:rPr>
          <w:rFonts w:ascii="SimSun" w:eastAsiaTheme="minorEastAsia" w:hAnsiTheme="minorHAnsi" w:cstheme="minorBidi"/>
          <w:color w:val="000000"/>
          <w:spacing w:val="2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152,576,291.52</w:t>
      </w:r>
      <w:r>
        <w:rPr>
          <w:rFonts w:ascii="SimSun" w:eastAsiaTheme="minorEastAsia" w:hAnsiTheme="minorHAnsi" w:cstheme="minorBidi"/>
          <w:color w:val="000000"/>
          <w:spacing w:val="2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140,906,341.05</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41,368,978.49</w:t>
      </w:r>
    </w:p>
    <w:p>
      <w:pPr>
        <w:framePr w:w="2354" w:x="1798" w:y="103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设定提存计划列示</w:t>
      </w:r>
    </w:p>
    <w:p>
      <w:pPr>
        <w:framePr w:w="1817" w:x="1798" w:y="10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824" w:x="1798" w:y="11684"/>
        <w:widowControl w:val="0"/>
        <w:autoSpaceDE w:val="0"/>
        <w:autoSpaceDN w:val="0"/>
        <w:spacing w:line="211" w:lineRule="exact"/>
        <w:ind w:left="9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24" w:x="1798" w:y="11684"/>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、基本养老保险</w:t>
      </w:r>
    </w:p>
    <w:p>
      <w:pPr>
        <w:framePr w:w="1824" w:x="1798" w:y="11684"/>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、失业保险费</w:t>
      </w:r>
    </w:p>
    <w:p>
      <w:pPr>
        <w:framePr w:w="1824" w:x="1798" w:y="11684"/>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、企业年金缴费</w:t>
      </w:r>
    </w:p>
    <w:p>
      <w:pPr>
        <w:framePr w:w="1824" w:x="1798" w:y="11684"/>
        <w:widowControl w:val="0"/>
        <w:autoSpaceDE w:val="0"/>
        <w:autoSpaceDN w:val="0"/>
        <w:spacing w:before="77" w:line="211" w:lineRule="exact"/>
        <w:ind w:left="9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4667" w:y="11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284" w:y="11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7907" w:y="11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523" w:y="11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96" w:x="6349" w:y="11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708,639.98</w:t>
      </w:r>
    </w:p>
    <w:p>
      <w:pPr>
        <w:framePr w:w="1296" w:x="6349" w:y="11972"/>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28,980.94</w:t>
      </w:r>
    </w:p>
    <w:p>
      <w:pPr>
        <w:framePr w:w="1296" w:x="7989" w:y="11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708,639.98</w:t>
      </w:r>
    </w:p>
    <w:p>
      <w:pPr>
        <w:framePr w:w="1296" w:x="7989" w:y="11972"/>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28,980.94</w:t>
      </w:r>
    </w:p>
    <w:p>
      <w:pPr>
        <w:framePr w:w="1296" w:x="6349" w:y="128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737,620.92</w:t>
      </w:r>
    </w:p>
    <w:p>
      <w:pPr>
        <w:framePr w:w="1296" w:x="7989" w:y="128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737,620.92</w:t>
      </w:r>
    </w:p>
    <w:p>
      <w:pPr>
        <w:framePr w:w="1296" w:x="1798" w:y="132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3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377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应交税费</w:t>
      </w:r>
    </w:p>
    <w:p>
      <w:pPr>
        <w:framePr w:w="1817" w:x="1798" w:y="1377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66" type="#_x0000_t75" style="width:445.6pt;height:2.7pt;margin-top:53.65pt;margin-left:87.45pt;mso-position-horizontal-relative:page;mso-position-vertical-relative:page;position:absolute;z-index:-251203584">
            <v:imagedata r:id="rId281" o:title=""/>
          </v:shape>
        </w:pict>
      </w:r>
      <w:r>
        <w:rPr>
          <w:noProof/>
        </w:rPr>
        <w:pict>
          <v:shape id="_x0000_s1367" type="#_x0000_t75" style="width:498.65pt;height:87.25pt;margin-top:180.85pt;margin-left:53.25pt;mso-position-horizontal-relative:page;mso-position-vertical-relative:page;position:absolute;z-index:-251261952">
            <v:imagedata r:id="rId282" o:title=""/>
          </v:shape>
        </w:pict>
      </w:r>
      <w:r>
        <w:rPr>
          <w:noProof/>
        </w:rPr>
        <w:pict>
          <v:shape id="_x0000_s1368" type="#_x0000_t75" style="width:505.75pt;height:171.95pt;margin-top:338.55pt;margin-left:60.3pt;mso-position-horizontal-relative:page;mso-position-vertical-relative:page;position:absolute;z-index:-251360256">
            <v:imagedata r:id="rId283" o:title=""/>
          </v:shape>
        </w:pict>
      </w:r>
      <w:r>
        <w:rPr>
          <w:noProof/>
        </w:rPr>
        <w:pict>
          <v:shape id="_x0000_s1369" type="#_x0000_t75" style="width:455.2pt;height:74.65pt;margin-top:581pt;margin-left:83.15pt;mso-position-horizontal-relative:page;mso-position-vertical-relative:page;position:absolute;z-index:-251501568">
            <v:imagedata r:id="rId284" o:title=""/>
          </v:shape>
        </w:pict>
      </w:r>
    </w:p>
    <w:p>
      <w:pPr>
        <w:spacing w:line="0" w:lineRule="atLeast"/>
        <w:rPr>
          <w:rFonts w:ascii="Arial" w:eastAsiaTheme="minorEastAsia" w:hAnsiTheme="minorHAnsi" w:cstheme="minorBidi"/>
          <w:color w:val="FF0000"/>
          <w:sz w:val="2"/>
          <w:szCs w:val="22"/>
          <w:lang w:val="en-US" w:eastAsia="en-US" w:bidi="ar-SA"/>
        </w:rPr>
      </w:pPr>
      <w:bookmarkStart w:id="154" w:name="br1_153"/>
      <w:bookmarkEnd w:id="15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554" w:x="8320"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535"/>
        <w:widowControl w:val="0"/>
        <w:autoSpaceDE w:val="0"/>
        <w:autoSpaceDN w:val="0"/>
        <w:spacing w:before="72" w:line="211" w:lineRule="exact"/>
        <w:ind w:left="49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2943"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5804"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874" w:x="1798"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增值税</w:t>
      </w:r>
    </w:p>
    <w:p>
      <w:pPr>
        <w:framePr w:w="874" w:x="1798" w:y="2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消费税</w:t>
      </w:r>
    </w:p>
    <w:p>
      <w:pPr>
        <w:framePr w:w="874" w:x="1798" w:y="26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营业税</w:t>
      </w:r>
    </w:p>
    <w:p>
      <w:pPr>
        <w:framePr w:w="1296" w:x="1798" w:y="2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企业所得税</w:t>
      </w:r>
    </w:p>
    <w:p>
      <w:pPr>
        <w:framePr w:w="1296" w:x="1798" w:y="29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个人所得税</w:t>
      </w:r>
    </w:p>
    <w:p>
      <w:pPr>
        <w:framePr w:w="1296" w:x="6496" w:y="29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317,211.40</w:t>
      </w:r>
    </w:p>
    <w:p>
      <w:pPr>
        <w:framePr w:w="1507" w:x="9372" w:y="29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1,847,018.88</w:t>
      </w:r>
    </w:p>
    <w:p>
      <w:pPr>
        <w:framePr w:w="1507" w:x="9372" w:y="2949"/>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79,758.77</w:t>
      </w:r>
    </w:p>
    <w:p>
      <w:pPr>
        <w:framePr w:w="1296" w:x="6496" w:y="32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131,372.23</w:t>
      </w:r>
    </w:p>
    <w:p>
      <w:pPr>
        <w:framePr w:w="1718" w:x="1798" w:y="3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城市维护建设税</w:t>
      </w:r>
    </w:p>
    <w:p>
      <w:pPr>
        <w:framePr w:w="1718" w:x="1798" w:y="351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房产税</w:t>
      </w:r>
    </w:p>
    <w:p>
      <w:pPr>
        <w:framePr w:w="1507" w:x="6287" w:y="3797"/>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363,413.46</w:t>
      </w:r>
    </w:p>
    <w:p>
      <w:pPr>
        <w:framePr w:w="1507" w:x="6287" w:y="379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520,274.95</w:t>
      </w:r>
    </w:p>
    <w:p>
      <w:pPr>
        <w:framePr w:w="1507" w:x="6287" w:y="379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142,436.88</w:t>
      </w:r>
    </w:p>
    <w:p>
      <w:pPr>
        <w:framePr w:w="1507" w:x="6287" w:y="379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1,474,708.92</w:t>
      </w:r>
    </w:p>
    <w:p>
      <w:pPr>
        <w:framePr w:w="1507" w:x="9372" w:y="3797"/>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273,673.49</w:t>
      </w:r>
    </w:p>
    <w:p>
      <w:pPr>
        <w:framePr w:w="1507" w:x="9372" w:y="379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425,801.88</w:t>
      </w:r>
    </w:p>
    <w:p>
      <w:pPr>
        <w:framePr w:w="1507" w:x="9372" w:y="379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145,968.28</w:t>
      </w:r>
    </w:p>
    <w:p>
      <w:pPr>
        <w:framePr w:w="1507" w:x="9372" w:y="379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1296" w:x="1798" w:y="4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土地使用税</w:t>
      </w:r>
    </w:p>
    <w:p>
      <w:pPr>
        <w:framePr w:w="1296" w:x="1798" w:y="40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2943"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5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504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800" w:x="1798" w:y="6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其他应付款</w:t>
      </w:r>
    </w:p>
    <w:p>
      <w:pPr>
        <w:framePr w:w="1800" w:x="1798" w:y="610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71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4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431"/>
        <w:widowControl w:val="0"/>
        <w:autoSpaceDE w:val="0"/>
        <w:autoSpaceDN w:val="0"/>
        <w:spacing w:before="72" w:line="211" w:lineRule="exact"/>
        <w:ind w:left="56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132" w:y="77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6008" w:y="77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96" w:x="1798" w:y="79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应付利息</w:t>
      </w:r>
    </w:p>
    <w:p>
      <w:pPr>
        <w:framePr w:w="1296" w:x="1798" w:y="799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1296" w:x="1798" w:y="799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296" w:x="1798" w:y="799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388" w:y="85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16,123,183.20</w:t>
      </w:r>
    </w:p>
    <w:p>
      <w:pPr>
        <w:framePr w:w="1613" w:x="6388" w:y="85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16,123,183.20</w:t>
      </w:r>
    </w:p>
    <w:p>
      <w:pPr>
        <w:framePr w:w="1507" w:x="9372" w:y="85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507" w:x="9372" w:y="85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296" w:x="1798" w:y="9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97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977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应付利息</w:t>
      </w:r>
    </w:p>
    <w:p>
      <w:pPr>
        <w:framePr w:w="1510" w:x="1798" w:y="108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分类列示</w:t>
      </w:r>
    </w:p>
    <w:p>
      <w:pPr>
        <w:framePr w:w="1817" w:x="1798" w:y="11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136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应付股利</w:t>
      </w:r>
    </w:p>
    <w:p>
      <w:pPr>
        <w:framePr w:w="1510" w:x="1798" w:y="124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分类列示</w:t>
      </w:r>
    </w:p>
    <w:p>
      <w:pPr>
        <w:framePr w:w="1817" w:x="1798" w:y="129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294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3298" w:x="1798" w:y="140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按款项性质列示其他应付款</w:t>
      </w:r>
    </w:p>
    <w:p>
      <w:pPr>
        <w:framePr w:w="3298" w:x="1798" w:y="1400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5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70" type="#_x0000_t75" style="width:445.6pt;height:2.7pt;margin-top:53.65pt;margin-left:87.45pt;mso-position-horizontal-relative:page;mso-position-vertical-relative:page;position:absolute;z-index:-251260928">
            <v:imagedata r:id="rId285" o:title=""/>
          </v:shape>
        </w:pict>
      </w:r>
      <w:r>
        <w:rPr>
          <w:noProof/>
        </w:rPr>
        <w:pict>
          <v:shape id="_x0000_s1371" type="#_x0000_t75" style="width:454.95pt;height:157.75pt;margin-top:88pt;margin-left:83.25pt;mso-position-horizontal-relative:page;mso-position-vertical-relative:page;position:absolute;z-index:-251359232">
            <v:imagedata r:id="rId286" o:title=""/>
          </v:shape>
        </w:pict>
      </w:r>
      <w:r>
        <w:rPr>
          <w:noProof/>
        </w:rPr>
        <w:pict>
          <v:shape id="_x0000_s1372" type="#_x0000_t75" style="width:454.95pt;height:73.05pt;margin-top:382.75pt;margin-left:83.25pt;mso-position-horizontal-relative:page;mso-position-vertical-relative:page;position:absolute;z-index:-251500544">
            <v:imagedata r:id="rId287" o:title=""/>
          </v:shape>
        </w:pict>
      </w:r>
    </w:p>
    <w:p>
      <w:pPr>
        <w:spacing w:line="0" w:lineRule="atLeast"/>
        <w:rPr>
          <w:rFonts w:ascii="Arial" w:eastAsiaTheme="minorEastAsia" w:hAnsiTheme="minorHAnsi" w:cstheme="minorBidi"/>
          <w:color w:val="FF0000"/>
          <w:sz w:val="2"/>
          <w:szCs w:val="22"/>
          <w:lang w:val="en-US" w:eastAsia="en-US" w:bidi="ar-SA"/>
        </w:rPr>
      </w:pPr>
      <w:bookmarkStart w:id="155" w:name="br1_154"/>
      <w:bookmarkEnd w:id="15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805" w:x="1798" w:y="1547"/>
        <w:widowControl w:val="0"/>
        <w:autoSpaceDE w:val="0"/>
        <w:autoSpaceDN w:val="0"/>
        <w:spacing w:line="211" w:lineRule="exact"/>
        <w:ind w:left="114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05"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押金及保证金</w:t>
      </w:r>
    </w:p>
    <w:p>
      <w:pPr>
        <w:framePr w:w="1085" w:x="5694"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120" w:x="8754"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2120" w:x="8754" w:y="1547"/>
        <w:widowControl w:val="0"/>
        <w:autoSpaceDE w:val="0"/>
        <w:autoSpaceDN w:val="0"/>
        <w:spacing w:before="70" w:line="211" w:lineRule="exact"/>
        <w:ind w:left="8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460,155.12</w:t>
      </w:r>
    </w:p>
    <w:p>
      <w:pPr>
        <w:framePr w:w="1296" w:x="6455"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452,875.89</w:t>
      </w:r>
    </w:p>
    <w:p>
      <w:pPr>
        <w:framePr w:w="1085" w:x="1798"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预提费用</w:t>
      </w:r>
    </w:p>
    <w:p>
      <w:pPr>
        <w:framePr w:w="1507" w:x="6246"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2,057,014.51</w:t>
      </w:r>
    </w:p>
    <w:p>
      <w:pPr>
        <w:framePr w:w="1507" w:x="6246" w:y="2112"/>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245,392.80</w:t>
      </w:r>
    </w:p>
    <w:p>
      <w:pPr>
        <w:framePr w:w="1507" w:x="9372"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1,805,026.00</w:t>
      </w:r>
    </w:p>
    <w:p>
      <w:pPr>
        <w:framePr w:w="1507" w:x="9372" w:y="2112"/>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402,243.42</w:t>
      </w:r>
    </w:p>
    <w:p>
      <w:pPr>
        <w:framePr w:w="1930" w:x="1798"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往来款项及其他</w:t>
      </w:r>
    </w:p>
    <w:p>
      <w:pPr>
        <w:framePr w:w="1930" w:x="1798" w:y="23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员工认购款（注）</w:t>
      </w:r>
    </w:p>
    <w:p>
      <w:pPr>
        <w:framePr w:w="1930" w:x="1798" w:y="2395"/>
        <w:widowControl w:val="0"/>
        <w:autoSpaceDE w:val="0"/>
        <w:autoSpaceDN w:val="0"/>
        <w:spacing w:before="72" w:line="211" w:lineRule="exact"/>
        <w:ind w:left="114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140"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1613" w:x="6140" w:y="267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16,123,183.20</w:t>
      </w:r>
    </w:p>
    <w:p>
      <w:pPr>
        <w:framePr w:w="1507" w:x="9372"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8899" w:x="2218" w:y="3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注：本期员工认购款系</w:t>
      </w:r>
      <w:r>
        <w:rPr>
          <w:rFonts w:eastAsiaTheme="minorEastAsia" w:hAnsiTheme="minorHAnsi" w:cstheme="minorBidi"/>
          <w:color w:val="000000"/>
          <w:spacing w:val="1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7"/>
          <w:sz w:val="21"/>
          <w:szCs w:val="22"/>
          <w:lang w:val="en-US" w:eastAsia="en-US" w:bidi="ar-SA"/>
        </w:rPr>
        <w:t>年限制性股票激励计划中员工认购款，详见附注十三、股份支付。</w:t>
      </w:r>
    </w:p>
    <w:p>
      <w:pPr>
        <w:framePr w:w="3722" w:x="1798" w:y="38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账龄超过</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1"/>
          <w:sz w:val="21"/>
          <w:szCs w:val="22"/>
          <w:lang w:val="en-US" w:eastAsia="en-US" w:bidi="ar-SA"/>
        </w:rPr>
        <w:t>年的重要其他应付款</w:t>
      </w:r>
    </w:p>
    <w:p>
      <w:pPr>
        <w:framePr w:w="3722" w:x="1798" w:y="389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4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54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60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持有待售负债</w:t>
      </w:r>
    </w:p>
    <w:p>
      <w:pPr>
        <w:framePr w:w="1817" w:x="1798" w:y="65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14" w:x="1798" w:y="7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1"/>
          <w:sz w:val="21"/>
          <w:szCs w:val="22"/>
          <w:lang w:val="en-US" w:eastAsia="en-US" w:bidi="ar-SA"/>
        </w:rPr>
        <w:t>年内到期的非流动负债</w:t>
      </w:r>
    </w:p>
    <w:p>
      <w:pPr>
        <w:framePr w:w="3014" w:x="1798" w:y="706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81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2933" w:y="84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5694" w:y="84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108" w:x="8766" w:y="84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2108" w:x="8766" w:y="8400"/>
        <w:widowControl w:val="0"/>
        <w:autoSpaceDE w:val="0"/>
        <w:autoSpaceDN w:val="0"/>
        <w:spacing w:before="72" w:line="211" w:lineRule="exact"/>
        <w:ind w:left="50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2501" w:x="1798" w:y="86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年内到期的长期借款</w:t>
      </w:r>
    </w:p>
    <w:p>
      <w:pPr>
        <w:framePr w:w="2501" w:x="1798" w:y="86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年内到期的应付债券</w:t>
      </w:r>
    </w:p>
    <w:p>
      <w:pPr>
        <w:framePr w:w="2501" w:x="1798" w:y="86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年内到期的长期应付款</w:t>
      </w:r>
    </w:p>
    <w:p>
      <w:pPr>
        <w:framePr w:w="2501" w:x="1798" w:y="868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年内到期的租赁负债</w:t>
      </w:r>
    </w:p>
    <w:p>
      <w:pPr>
        <w:framePr w:w="2501" w:x="1798" w:y="8683"/>
        <w:widowControl w:val="0"/>
        <w:autoSpaceDE w:val="0"/>
        <w:autoSpaceDN w:val="0"/>
        <w:spacing w:before="70" w:line="211" w:lineRule="exact"/>
        <w:ind w:left="113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9266" w:y="98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1296" w:x="1798" w:y="102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107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774" w:x="1798" w:y="112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其他流动负债</w:t>
      </w:r>
    </w:p>
    <w:p>
      <w:pPr>
        <w:framePr w:w="2774" w:x="1798" w:y="1127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其他流动负债情况</w:t>
      </w:r>
    </w:p>
    <w:p>
      <w:pPr>
        <w:framePr w:w="2774" w:x="1798" w:y="1127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1127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短期应付债券的增减变动：</w:t>
      </w:r>
    </w:p>
    <w:p>
      <w:pPr>
        <w:framePr w:w="2774" w:x="1798" w:y="1127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1127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44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73" type="#_x0000_t75" style="width:445.6pt;height:2.7pt;margin-top:53.65pt;margin-left:87.45pt;mso-position-horizontal-relative:page;mso-position-vertical-relative:page;position:absolute;z-index:-251259904">
            <v:imagedata r:id="rId288" o:title=""/>
          </v:shape>
        </w:pict>
      </w:r>
      <w:r>
        <w:rPr>
          <w:noProof/>
        </w:rPr>
        <w:pict>
          <v:shape id="_x0000_s1374" type="#_x0000_t75" style="width:454.95pt;height:87.2pt;margin-top:74.3pt;margin-left:83.25pt;mso-position-horizontal-relative:page;mso-position-vertical-relative:page;position:absolute;z-index:-251358208">
            <v:imagedata r:id="rId289" o:title=""/>
          </v:shape>
        </w:pict>
      </w:r>
      <w:r>
        <w:rPr>
          <w:noProof/>
        </w:rPr>
        <w:pict>
          <v:shape id="_x0000_s1375" type="#_x0000_t75" style="width:454.95pt;height:87.2pt;margin-top:417.05pt;margin-left:83.25pt;mso-position-horizontal-relative:page;mso-position-vertical-relative:page;position:absolute;z-index:-251499520">
            <v:imagedata r:id="rId290" o:title=""/>
          </v:shape>
        </w:pict>
      </w:r>
    </w:p>
    <w:p>
      <w:pPr>
        <w:spacing w:line="0" w:lineRule="atLeast"/>
        <w:rPr>
          <w:rFonts w:ascii="Arial" w:eastAsiaTheme="minorEastAsia" w:hAnsiTheme="minorHAnsi" w:cstheme="minorBidi"/>
          <w:color w:val="FF0000"/>
          <w:sz w:val="2"/>
          <w:szCs w:val="22"/>
          <w:lang w:val="en-US" w:eastAsia="en-US" w:bidi="ar-SA"/>
        </w:rPr>
      </w:pPr>
      <w:bookmarkStart w:id="156" w:name="br1_155"/>
      <w:bookmarkEnd w:id="15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8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长期借款</w:t>
      </w:r>
    </w:p>
    <w:p>
      <w:pPr>
        <w:framePr w:w="2035"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长期借款分类</w:t>
      </w:r>
    </w:p>
    <w:p>
      <w:pPr>
        <w:framePr w:w="2035"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8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865"/>
        <w:widowControl w:val="0"/>
        <w:autoSpaceDE w:val="0"/>
        <w:autoSpaceDN w:val="0"/>
        <w:spacing w:before="72" w:line="211" w:lineRule="exact"/>
        <w:ind w:left="5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870" w:x="1798" w:y="3149"/>
        <w:widowControl w:val="0"/>
        <w:autoSpaceDE w:val="0"/>
        <w:autoSpaceDN w:val="0"/>
        <w:spacing w:line="211" w:lineRule="exact"/>
        <w:ind w:left="12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70" w:x="1798" w:y="31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质押借款</w:t>
      </w:r>
    </w:p>
    <w:p>
      <w:pPr>
        <w:framePr w:w="1870" w:x="1798" w:y="31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抵押借款</w:t>
      </w:r>
    </w:p>
    <w:p>
      <w:pPr>
        <w:framePr w:w="1870" w:x="1798" w:y="31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保证借款</w:t>
      </w:r>
    </w:p>
    <w:p>
      <w:pPr>
        <w:framePr w:w="1870" w:x="1798" w:y="31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信用借款</w:t>
      </w:r>
    </w:p>
    <w:p>
      <w:pPr>
        <w:framePr w:w="1870" w:x="1798" w:y="3149"/>
        <w:widowControl w:val="0"/>
        <w:autoSpaceDE w:val="0"/>
        <w:autoSpaceDN w:val="0"/>
        <w:spacing w:before="70" w:line="211" w:lineRule="exact"/>
        <w:ind w:left="12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845" w:y="3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718" w:x="9163" w:y="3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1718" w:x="9163" w:y="3713"/>
        <w:widowControl w:val="0"/>
        <w:autoSpaceDE w:val="0"/>
        <w:autoSpaceDN w:val="0"/>
        <w:spacing w:before="63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2352" w:x="1798" w:y="49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长期借款分类的说明：</w:t>
      </w:r>
    </w:p>
    <w:p>
      <w:pPr>
        <w:framePr w:w="2352" w:x="1798" w:y="496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774" w:x="1798" w:y="60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其他说明，包括利率区间：</w:t>
      </w:r>
    </w:p>
    <w:p>
      <w:pPr>
        <w:framePr w:w="2774" w:x="1798" w:y="601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6019"/>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应付债券</w:t>
      </w:r>
    </w:p>
    <w:p>
      <w:pPr>
        <w:framePr w:w="1512" w:x="1798" w:y="76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应付债券</w:t>
      </w:r>
    </w:p>
    <w:p>
      <w:pPr>
        <w:framePr w:w="1817" w:x="1798" w:y="81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7" w:x="1798" w:y="86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2"/>
          <w:sz w:val="21"/>
          <w:szCs w:val="22"/>
          <w:lang w:val="en-US" w:eastAsia="en-US" w:bidi="ar-SA"/>
        </w:rPr>
        <w:t>应付债券的增减变动：（不包括划分为金融负债的优先股、永续债等其他金融工具）</w:t>
      </w:r>
    </w:p>
    <w:p>
      <w:pPr>
        <w:framePr w:w="8477" w:x="1798" w:y="8662"/>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75" w:x="1798" w:y="97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可转换公司债券的转股条件、转股时间说明</w:t>
      </w:r>
    </w:p>
    <w:p>
      <w:pPr>
        <w:framePr w:w="4675" w:x="1798" w:y="972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520" w:x="1798" w:y="10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划分为金融负债的其他金融工具说明</w:t>
      </w:r>
    </w:p>
    <w:p>
      <w:pPr>
        <w:framePr w:w="5520" w:x="1798" w:y="1077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期末发行在外的优先股、永续债等其他金融工具基本情况</w:t>
      </w:r>
    </w:p>
    <w:p>
      <w:pPr>
        <w:framePr w:w="5520" w:x="1798" w:y="10777"/>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09" w:x="1798" w:y="123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期末发行在外的优先股、永续债等金融工具变动情况表</w:t>
      </w:r>
    </w:p>
    <w:p>
      <w:pPr>
        <w:framePr w:w="5309" w:x="1798" w:y="1236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253" w:x="1798" w:y="134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其他金融工具划分为金融负债的依据说明：</w:t>
      </w:r>
    </w:p>
    <w:p>
      <w:pPr>
        <w:framePr w:w="4253" w:x="1798" w:y="1342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44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5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76" type="#_x0000_t75" style="width:445.6pt;height:2.7pt;margin-top:53.65pt;margin-left:87.45pt;mso-position-horizontal-relative:page;mso-position-vertical-relative:page;position:absolute;z-index:-251357184">
            <v:imagedata r:id="rId291" o:title=""/>
          </v:shape>
        </w:pict>
      </w:r>
      <w:r>
        <w:rPr>
          <w:noProof/>
        </w:rPr>
        <w:pict>
          <v:shape id="_x0000_s1377" type="#_x0000_t75" style="width:454.95pt;height:87.2pt;margin-top:154.45pt;margin-left:83.25pt;mso-position-horizontal-relative:page;mso-position-vertical-relative:page;position:absolute;z-index:-251498496">
            <v:imagedata r:id="rId292" o:title=""/>
          </v:shape>
        </w:pict>
      </w:r>
    </w:p>
    <w:p>
      <w:pPr>
        <w:spacing w:line="0" w:lineRule="atLeast"/>
        <w:rPr>
          <w:rFonts w:ascii="Arial" w:eastAsiaTheme="minorEastAsia" w:hAnsiTheme="minorHAnsi" w:cstheme="minorBidi"/>
          <w:color w:val="FF0000"/>
          <w:sz w:val="2"/>
          <w:szCs w:val="22"/>
          <w:lang w:val="en-US" w:eastAsia="en-US" w:bidi="ar-SA"/>
        </w:rPr>
      </w:pPr>
      <w:bookmarkStart w:id="157" w:name="br1_156"/>
      <w:bookmarkEnd w:id="15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8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租赁负债</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长期应付款</w:t>
      </w:r>
    </w:p>
    <w:p>
      <w:pPr>
        <w:framePr w:w="1817"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365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47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3197"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按款项性质列示长期应付款</w:t>
      </w:r>
    </w:p>
    <w:p>
      <w:pPr>
        <w:framePr w:w="3197"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5765"/>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专项应付款</w:t>
      </w:r>
    </w:p>
    <w:p>
      <w:pPr>
        <w:framePr w:w="3197" w:x="1798" w:y="7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按款项性质列示专项应付款</w:t>
      </w:r>
    </w:p>
    <w:p>
      <w:pPr>
        <w:framePr w:w="3197"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长期应付职工薪酬</w:t>
      </w:r>
    </w:p>
    <w:p>
      <w:pPr>
        <w:framePr w:w="3197"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735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预计负债</w:t>
      </w:r>
    </w:p>
    <w:p>
      <w:pPr>
        <w:framePr w:w="1817" w:x="1798"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05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0522"/>
        <w:widowControl w:val="0"/>
        <w:autoSpaceDE w:val="0"/>
        <w:autoSpaceDN w:val="0"/>
        <w:spacing w:before="72" w:line="211" w:lineRule="exact"/>
        <w:ind w:left="87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形成原因</w:t>
      </w:r>
    </w:p>
    <w:p>
      <w:pPr>
        <w:framePr w:w="1507" w:x="1798" w:y="10805"/>
        <w:widowControl w:val="0"/>
        <w:autoSpaceDE w:val="0"/>
        <w:autoSpaceDN w:val="0"/>
        <w:spacing w:line="211" w:lineRule="exact"/>
        <w:ind w:left="75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1798" w:y="1080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对外提供担保</w:t>
      </w:r>
    </w:p>
    <w:p>
      <w:pPr>
        <w:framePr w:w="1507" w:x="1798" w:y="1080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未决诉讼</w:t>
      </w:r>
    </w:p>
    <w:p>
      <w:pPr>
        <w:framePr w:w="1085" w:x="4662" w:y="10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928" w:y="10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507" w:x="1798" w:y="11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产品质量保证</w:t>
      </w:r>
    </w:p>
    <w:p>
      <w:pPr>
        <w:framePr w:w="1507" w:x="1798" w:y="116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重组义务</w:t>
      </w:r>
    </w:p>
    <w:p>
      <w:pPr>
        <w:framePr w:w="1930" w:x="1798" w:y="122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待执行的亏损合同</w:t>
      </w:r>
    </w:p>
    <w:p>
      <w:pPr>
        <w:framePr w:w="1930" w:x="1798" w:y="12217"/>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应付退货款</w:t>
      </w:r>
    </w:p>
    <w:p>
      <w:pPr>
        <w:framePr w:w="1930" w:x="1798" w:y="1221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2141" w:x="1798" w:y="13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危险废弃物处理支出</w:t>
      </w:r>
    </w:p>
    <w:p>
      <w:pPr>
        <w:framePr w:w="2141" w:x="1798" w:y="13064"/>
        <w:widowControl w:val="0"/>
        <w:autoSpaceDE w:val="0"/>
        <w:autoSpaceDN w:val="0"/>
        <w:spacing w:before="72" w:line="211" w:lineRule="exact"/>
        <w:ind w:left="75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4736" w:y="130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1613" w:x="4736" w:y="130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3619" w:x="7108" w:y="13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1,310,525.28</w:t>
      </w:r>
      <w:r>
        <w:rPr>
          <w:rFonts w:ascii="SimSun" w:eastAsiaTheme="minorEastAsia" w:hAnsiTheme="minorHAnsi" w:cstheme="minorBidi"/>
          <w:color w:val="000000"/>
          <w:spacing w:val="118"/>
          <w:sz w:val="21"/>
          <w:szCs w:val="22"/>
          <w:lang w:val="en-US" w:eastAsia="en-US" w:bidi="ar-SA"/>
        </w:rPr>
        <w:t xml:space="preserve"> </w:t>
      </w:r>
      <w:r>
        <w:rPr>
          <w:rFonts w:ascii="SimSun" w:hAnsi="SimSun" w:eastAsiaTheme="minorEastAsia" w:cs="SimSun"/>
          <w:color w:val="000000"/>
          <w:sz w:val="21"/>
          <w:szCs w:val="22"/>
          <w:lang w:val="en-US" w:eastAsia="en-US" w:bidi="ar-SA"/>
        </w:rPr>
        <w:t>危险废弃物处理支出</w:t>
      </w:r>
    </w:p>
    <w:p>
      <w:pPr>
        <w:framePr w:w="3619" w:x="7108" w:y="130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1,310,525.28</w:t>
      </w:r>
    </w:p>
    <w:p>
      <w:pPr>
        <w:framePr w:w="346" w:x="9561" w:y="133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5731" w:x="1798" w:y="137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其他说明，包括重要预计负债的相关重要假设、估计说明：</w:t>
      </w:r>
    </w:p>
    <w:p>
      <w:pPr>
        <w:framePr w:w="9068" w:x="1798" w:y="142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本公司及潍坊先达按照危险废弃物处置方案，预提的废盐与废渣的处置费用，具体预提方法</w:t>
      </w:r>
    </w:p>
    <w:p>
      <w:pPr>
        <w:framePr w:w="9068" w:x="1798" w:y="1427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按截止报告期期末预计处置数量及处置单价计算。</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78" type="#_x0000_t75" style="width:445.6pt;height:2.7pt;margin-top:53.65pt;margin-left:87.45pt;mso-position-horizontal-relative:page;mso-position-vertical-relative:page;position:absolute;z-index:-251356160">
            <v:imagedata r:id="rId293" o:title=""/>
          </v:shape>
        </w:pict>
      </w:r>
      <w:r>
        <w:rPr>
          <w:noProof/>
        </w:rPr>
        <w:pict>
          <v:shape id="_x0000_s1379" type="#_x0000_t75" style="width:455.55pt;height:143.65pt;margin-top:537.3pt;margin-left:83pt;mso-position-horizontal-relative:page;mso-position-vertical-relative:page;position:absolute;z-index:-251497472">
            <v:imagedata r:id="rId294" o:title=""/>
          </v:shape>
        </w:pict>
      </w:r>
    </w:p>
    <w:p>
      <w:pPr>
        <w:spacing w:line="0" w:lineRule="atLeast"/>
        <w:rPr>
          <w:rFonts w:ascii="Arial" w:eastAsiaTheme="minorEastAsia" w:hAnsiTheme="minorHAnsi" w:cstheme="minorBidi"/>
          <w:color w:val="FF0000"/>
          <w:sz w:val="2"/>
          <w:szCs w:val="22"/>
          <w:lang w:val="en-US" w:eastAsia="en-US" w:bidi="ar-SA"/>
        </w:rPr>
      </w:pPr>
      <w:bookmarkStart w:id="158" w:name="br1_157"/>
      <w:bookmarkEnd w:id="15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89" w:x="1798" w:y="19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递延收益</w:t>
      </w:r>
    </w:p>
    <w:p>
      <w:pPr>
        <w:framePr w:w="1589" w:x="1798" w:y="192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递延收益情况</w:t>
      </w:r>
    </w:p>
    <w:p>
      <w:pPr>
        <w:framePr w:w="1922" w:x="1798" w:y="29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5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2184" w:y="3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3478" w:y="3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017" w:y="3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6503" w:y="3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8041" w:y="3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9580" w:y="3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形成原因</w:t>
      </w:r>
    </w:p>
    <w:p>
      <w:pPr>
        <w:framePr w:w="1085" w:x="1798" w:y="4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w:t>
      </w:r>
    </w:p>
    <w:p>
      <w:pPr>
        <w:framePr w:w="1085" w:x="1798" w:y="4142"/>
        <w:widowControl w:val="0"/>
        <w:autoSpaceDE w:val="0"/>
        <w:autoSpaceDN w:val="0"/>
        <w:spacing w:before="72" w:line="211" w:lineRule="exact"/>
        <w:ind w:left="38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6172" w:x="3216" w:y="41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1,952,468.00</w:t>
      </w:r>
      <w:r>
        <w:rPr>
          <w:rFonts w:ascii="SimSun" w:eastAsiaTheme="minorEastAsia" w:hAnsiTheme="minorHAnsi" w:cstheme="minorBidi"/>
          <w:color w:val="000000"/>
          <w:spacing w:val="1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3,800,426.51</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17,672,248.48</w:t>
      </w:r>
    </w:p>
    <w:p>
      <w:pPr>
        <w:framePr w:w="6172" w:x="3216" w:y="414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1,952,468.00</w:t>
      </w:r>
      <w:r>
        <w:rPr>
          <w:rFonts w:ascii="SimSun" w:eastAsiaTheme="minorEastAsia" w:hAnsiTheme="minorHAnsi" w:cstheme="minorBidi"/>
          <w:color w:val="000000"/>
          <w:spacing w:val="1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3,800,426.51</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17,672,248.48</w:t>
      </w:r>
    </w:p>
    <w:p>
      <w:pPr>
        <w:framePr w:w="346" w:x="9948" w:y="44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352" w:x="1798" w:y="48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涉及政府补助的项目：</w:t>
      </w:r>
    </w:p>
    <w:p>
      <w:pPr>
        <w:framePr w:w="2352" w:x="1798" w:y="482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8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160" w:x="6601" w:y="6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w:t>
      </w:r>
      <w:r>
        <w:rPr>
          <w:rFonts w:eastAsiaTheme="minorEastAsia" w:hAnsiTheme="minorHAnsi" w:cstheme="minorBidi"/>
          <w:color w:val="000000"/>
          <w:spacing w:val="183"/>
          <w:sz w:val="21"/>
          <w:szCs w:val="22"/>
          <w:lang w:val="en-US" w:eastAsia="en-US" w:bidi="ar-SA"/>
        </w:rPr>
        <w:t xml:space="preserve"> </w:t>
      </w:r>
      <w:r>
        <w:rPr>
          <w:rFonts w:ascii="SimSun" w:hAnsi="SimSun" w:eastAsiaTheme="minorEastAsia" w:cs="SimSun"/>
          <w:color w:val="000000"/>
          <w:sz w:val="21"/>
          <w:szCs w:val="22"/>
          <w:lang w:val="en-US" w:eastAsia="en-US" w:bidi="ar-SA"/>
        </w:rPr>
        <w:t>本期计入其他</w:t>
      </w:r>
    </w:p>
    <w:p>
      <w:pPr>
        <w:framePr w:w="662" w:x="6601" w:y="64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计入</w:t>
      </w:r>
    </w:p>
    <w:p>
      <w:pPr>
        <w:framePr w:w="1085" w:x="7468" w:y="64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收益金额</w:t>
      </w:r>
    </w:p>
    <w:p>
      <w:pPr>
        <w:framePr w:w="451" w:x="8781" w:y="64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w:t>
      </w:r>
    </w:p>
    <w:p>
      <w:pPr>
        <w:framePr w:w="451" w:x="8781" w:y="649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他</w:t>
      </w:r>
    </w:p>
    <w:p>
      <w:pPr>
        <w:framePr w:w="451" w:x="8781" w:y="649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w:t>
      </w:r>
    </w:p>
    <w:p>
      <w:pPr>
        <w:framePr w:w="451" w:x="8781" w:y="649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w:t>
      </w:r>
    </w:p>
    <w:p>
      <w:pPr>
        <w:framePr w:w="979" w:x="10848" w:y="6499"/>
        <w:widowControl w:val="0"/>
        <w:autoSpaceDE w:val="0"/>
        <w:autoSpaceDN w:val="0"/>
        <w:spacing w:line="211" w:lineRule="exact"/>
        <w:ind w:left="5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与资产</w:t>
      </w:r>
    </w:p>
    <w:p>
      <w:pPr>
        <w:framePr w:w="979" w:x="10848" w:y="649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与</w:t>
      </w:r>
    </w:p>
    <w:p>
      <w:pPr>
        <w:framePr w:w="979" w:x="10848" w:y="6499"/>
        <w:widowControl w:val="0"/>
        <w:autoSpaceDE w:val="0"/>
        <w:autoSpaceDN w:val="0"/>
        <w:spacing w:before="62" w:line="211" w:lineRule="exact"/>
        <w:ind w:left="5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收益相</w:t>
      </w:r>
    </w:p>
    <w:p>
      <w:pPr>
        <w:framePr w:w="979" w:x="10848" w:y="6499"/>
        <w:widowControl w:val="0"/>
        <w:autoSpaceDE w:val="0"/>
        <w:autoSpaceDN w:val="0"/>
        <w:spacing w:before="60" w:line="211" w:lineRule="exact"/>
        <w:ind w:left="26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w:t>
      </w:r>
    </w:p>
    <w:p>
      <w:pPr>
        <w:framePr w:w="2160" w:x="5103" w:y="67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本期新增补助</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w:t>
      </w:r>
    </w:p>
    <w:p>
      <w:pPr>
        <w:framePr w:w="1085" w:x="1644" w:y="6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负债项目</w:t>
      </w:r>
    </w:p>
    <w:p>
      <w:pPr>
        <w:framePr w:w="1085" w:x="3773" w:y="6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9516" w:y="6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5523" w:y="7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6601" w:y="7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外收</w:t>
      </w:r>
    </w:p>
    <w:p>
      <w:pPr>
        <w:framePr w:w="662" w:x="6601" w:y="704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入金</w:t>
      </w:r>
    </w:p>
    <w:p>
      <w:pPr>
        <w:framePr w:w="662" w:x="6601" w:y="7044"/>
        <w:widowControl w:val="0"/>
        <w:autoSpaceDE w:val="0"/>
        <w:autoSpaceDN w:val="0"/>
        <w:spacing w:before="62" w:line="211" w:lineRule="exact"/>
        <w:ind w:left="10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2563" w:x="845" w:y="78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大气治理环保项目专项资</w:t>
      </w:r>
    </w:p>
    <w:p>
      <w:pPr>
        <w:framePr w:w="2563" w:x="845" w:y="787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w:t>
      </w:r>
    </w:p>
    <w:p>
      <w:pPr>
        <w:framePr w:w="1296" w:x="3827" w:y="78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183,333.15</w:t>
      </w:r>
    </w:p>
    <w:p>
      <w:pPr>
        <w:framePr w:w="1296" w:x="3827" w:y="7870"/>
        <w:widowControl w:val="0"/>
        <w:autoSpaceDE w:val="0"/>
        <w:autoSpaceDN w:val="0"/>
        <w:spacing w:before="343"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5,424.40</w:t>
      </w:r>
    </w:p>
    <w:p>
      <w:pPr>
        <w:framePr w:w="1296" w:x="7468" w:y="78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183,333.15</w:t>
      </w:r>
    </w:p>
    <w:p>
      <w:pPr>
        <w:framePr w:w="1296" w:x="7468" w:y="7870"/>
        <w:widowControl w:val="0"/>
        <w:autoSpaceDE w:val="0"/>
        <w:autoSpaceDN w:val="0"/>
        <w:spacing w:before="343"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5,424.40</w:t>
      </w:r>
    </w:p>
    <w:p>
      <w:pPr>
        <w:framePr w:w="874" w:x="10845" w:y="78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与资产</w:t>
      </w:r>
    </w:p>
    <w:p>
      <w:pPr>
        <w:framePr w:w="874" w:x="10845" w:y="787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874" w:x="10845" w:y="84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与收益</w:t>
      </w:r>
    </w:p>
    <w:p>
      <w:pPr>
        <w:framePr w:w="874" w:x="10845" w:y="842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1507" w:x="845" w:y="85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工会回拨经费</w:t>
      </w:r>
    </w:p>
    <w:p>
      <w:pPr>
        <w:framePr w:w="1507" w:x="845" w:y="8561"/>
        <w:widowControl w:val="0"/>
        <w:autoSpaceDE w:val="0"/>
        <w:autoSpaceDN w:val="0"/>
        <w:spacing w:before="3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喹草酮项目</w:t>
      </w:r>
    </w:p>
    <w:p>
      <w:pPr>
        <w:framePr w:w="1507" w:x="845" w:y="8561"/>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土地返还款</w:t>
      </w:r>
    </w:p>
    <w:p>
      <w:pPr>
        <w:framePr w:w="1507" w:x="3617" w:y="8981"/>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380,272.56</w:t>
      </w:r>
    </w:p>
    <w:p>
      <w:pPr>
        <w:framePr w:w="1507" w:x="3617" w:y="8981"/>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1,640,576.46</w:t>
      </w:r>
    </w:p>
    <w:p>
      <w:pPr>
        <w:framePr w:w="1507" w:x="3617" w:y="8981"/>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w:t>
      </w:r>
    </w:p>
    <w:p>
      <w:pPr>
        <w:framePr w:w="1507" w:x="3617" w:y="8981"/>
        <w:widowControl w:val="0"/>
        <w:autoSpaceDE w:val="0"/>
        <w:autoSpaceDN w:val="0"/>
        <w:spacing w:before="343" w:line="211" w:lineRule="exact"/>
        <w:ind w:left="31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10,600.42</w:t>
      </w:r>
    </w:p>
    <w:p>
      <w:pPr>
        <w:framePr w:w="1296" w:x="5312" w:y="89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530,000.00</w:t>
      </w:r>
    </w:p>
    <w:p>
      <w:pPr>
        <w:framePr w:w="1296" w:x="5312" w:y="8981"/>
        <w:widowControl w:val="0"/>
        <w:autoSpaceDE w:val="0"/>
        <w:autoSpaceDN w:val="0"/>
        <w:spacing w:before="89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w:t>
      </w:r>
    </w:p>
    <w:p>
      <w:pPr>
        <w:framePr w:w="1507" w:x="7259" w:y="8981"/>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910,272.56</w:t>
      </w:r>
    </w:p>
    <w:p>
      <w:pPr>
        <w:framePr w:w="1507" w:x="7259" w:y="8981"/>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1,640,576.46</w:t>
      </w:r>
    </w:p>
    <w:p>
      <w:pPr>
        <w:framePr w:w="874" w:x="10845" w:y="89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与资产</w:t>
      </w:r>
    </w:p>
    <w:p>
      <w:pPr>
        <w:framePr w:w="874" w:x="10845" w:y="898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874" w:x="10845" w:y="95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与资产</w:t>
      </w:r>
    </w:p>
    <w:p>
      <w:pPr>
        <w:framePr w:w="874" w:x="10845" w:y="953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2563" w:x="845" w:y="100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鸢都产业领军人才补助经</w:t>
      </w:r>
    </w:p>
    <w:p>
      <w:pPr>
        <w:framePr w:w="2563" w:x="845" w:y="1009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费</w:t>
      </w:r>
    </w:p>
    <w:p>
      <w:pPr>
        <w:framePr w:w="2359" w:x="9360" w:y="100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1,500,000.00</w:t>
      </w:r>
      <w:r>
        <w:rPr>
          <w:rFonts w:ascii="SimSun" w:eastAsiaTheme="minorEastAsia" w:hAnsiTheme="minorHAnsi" w:cstheme="minorBidi"/>
          <w:color w:val="000000"/>
          <w:spacing w:val="11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与收益</w:t>
      </w:r>
    </w:p>
    <w:p>
      <w:pPr>
        <w:framePr w:w="662" w:x="10845" w:y="103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1085" w:x="7677" w:y="106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2,231.64</w:t>
      </w:r>
    </w:p>
    <w:p>
      <w:pPr>
        <w:framePr w:w="1939" w:x="9780" w:y="106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8,368.78</w:t>
      </w:r>
      <w:r>
        <w:rPr>
          <w:rFonts w:ascii="SimSun" w:eastAsiaTheme="minorEastAsia" w:hAnsiTheme="minorHAnsi" w:cstheme="minorBidi"/>
          <w:color w:val="000000"/>
          <w:spacing w:val="11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与资产</w:t>
      </w:r>
    </w:p>
    <w:p>
      <w:pPr>
        <w:framePr w:w="2563" w:x="845" w:y="107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农业局捐赠监管设备</w:t>
      </w:r>
    </w:p>
    <w:p>
      <w:pPr>
        <w:framePr w:w="2563" w:x="845" w:y="10782"/>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沿海经济带建设补助资金</w:t>
      </w:r>
    </w:p>
    <w:p>
      <w:pPr>
        <w:framePr w:w="2563" w:x="845" w:y="10782"/>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稳定就业岗位补贴</w:t>
      </w:r>
    </w:p>
    <w:p>
      <w:pPr>
        <w:framePr w:w="2563" w:x="845" w:y="10782"/>
        <w:widowControl w:val="0"/>
        <w:autoSpaceDE w:val="0"/>
        <w:autoSpaceDN w:val="0"/>
        <w:spacing w:before="3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专利奖励资金</w:t>
      </w:r>
    </w:p>
    <w:p>
      <w:pPr>
        <w:framePr w:w="662" w:x="10845" w:y="109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1613" w:x="3512" w:y="111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16,000,000.00</w:t>
      </w:r>
    </w:p>
    <w:p>
      <w:pPr>
        <w:framePr w:w="2465" w:x="9254" w:y="111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16,000,000.00</w:t>
      </w:r>
      <w:r>
        <w:rPr>
          <w:rFonts w:ascii="SimSun" w:eastAsiaTheme="minorEastAsia" w:hAnsiTheme="minorHAnsi" w:cstheme="minorBidi"/>
          <w:color w:val="000000"/>
          <w:spacing w:val="11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与资产</w:t>
      </w:r>
    </w:p>
    <w:p>
      <w:pPr>
        <w:framePr w:w="662" w:x="10845" w:y="114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1296" w:x="5312" w:y="117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411,008.00</w:t>
      </w:r>
    </w:p>
    <w:p>
      <w:pPr>
        <w:framePr w:w="1296" w:x="5312" w:y="11753"/>
        <w:widowControl w:val="0"/>
        <w:autoSpaceDE w:val="0"/>
        <w:autoSpaceDN w:val="0"/>
        <w:spacing w:before="34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p>
    <w:p>
      <w:pPr>
        <w:framePr w:w="1296" w:x="5312" w:y="11753"/>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500,000.00</w:t>
      </w:r>
    </w:p>
    <w:p>
      <w:pPr>
        <w:framePr w:w="1296" w:x="5312" w:y="11753"/>
        <w:widowControl w:val="0"/>
        <w:autoSpaceDE w:val="0"/>
        <w:autoSpaceDN w:val="0"/>
        <w:spacing w:before="34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109,000.00</w:t>
      </w:r>
    </w:p>
    <w:p>
      <w:pPr>
        <w:framePr w:w="1296" w:x="5312" w:y="11753"/>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w:t>
      </w:r>
    </w:p>
    <w:p>
      <w:pPr>
        <w:framePr w:w="1296" w:x="5312" w:y="11753"/>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86,460.00</w:t>
      </w:r>
    </w:p>
    <w:p>
      <w:pPr>
        <w:framePr w:w="1296" w:x="5312" w:y="11753"/>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w:t>
      </w:r>
    </w:p>
    <w:p>
      <w:pPr>
        <w:framePr w:w="1296" w:x="7468" w:y="117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257,128.30</w:t>
      </w:r>
    </w:p>
    <w:p>
      <w:pPr>
        <w:framePr w:w="1296" w:x="7468" w:y="11753"/>
        <w:widowControl w:val="0"/>
        <w:autoSpaceDE w:val="0"/>
        <w:autoSpaceDN w:val="0"/>
        <w:spacing w:before="34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p>
    <w:p>
      <w:pPr>
        <w:framePr w:w="1296" w:x="7468" w:y="11753"/>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500,000.00</w:t>
      </w:r>
    </w:p>
    <w:p>
      <w:pPr>
        <w:framePr w:w="1296" w:x="7468" w:y="11753"/>
        <w:widowControl w:val="0"/>
        <w:autoSpaceDE w:val="0"/>
        <w:autoSpaceDN w:val="0"/>
        <w:spacing w:before="34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109,000.00</w:t>
      </w:r>
    </w:p>
    <w:p>
      <w:pPr>
        <w:framePr w:w="1296" w:x="7468" w:y="11753"/>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w:t>
      </w:r>
    </w:p>
    <w:p>
      <w:pPr>
        <w:framePr w:w="1296" w:x="7468" w:y="11753"/>
        <w:widowControl w:val="0"/>
        <w:autoSpaceDE w:val="0"/>
        <w:autoSpaceDN w:val="0"/>
        <w:spacing w:before="34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86,460.00</w:t>
      </w:r>
    </w:p>
    <w:p>
      <w:pPr>
        <w:framePr w:w="2150" w:x="9568" w:y="117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153,879.70</w:t>
      </w:r>
      <w:r>
        <w:rPr>
          <w:rFonts w:ascii="SimSun" w:eastAsiaTheme="minorEastAsia" w:hAnsiTheme="minorHAnsi" w:cstheme="minorBidi"/>
          <w:color w:val="000000"/>
          <w:spacing w:val="11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与收益</w:t>
      </w:r>
    </w:p>
    <w:p>
      <w:pPr>
        <w:framePr w:w="874" w:x="10845" w:y="120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874" w:x="10845" w:y="1202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与收益</w:t>
      </w:r>
    </w:p>
    <w:p>
      <w:pPr>
        <w:framePr w:w="662" w:x="10845" w:y="125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2396" w:x="845" w:y="12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年潍坊市“隐形冠</w:t>
      </w:r>
    </w:p>
    <w:p>
      <w:pPr>
        <w:framePr w:w="874" w:x="10845" w:y="12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与收益</w:t>
      </w:r>
    </w:p>
    <w:p>
      <w:pPr>
        <w:framePr w:w="1085" w:x="845" w:y="13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军”奖励</w:t>
      </w:r>
    </w:p>
    <w:p>
      <w:pPr>
        <w:framePr w:w="662" w:x="10845" w:y="13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2605" w:x="845" w:y="134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年度创新创业政策资</w:t>
      </w:r>
    </w:p>
    <w:p>
      <w:pPr>
        <w:framePr w:w="874" w:x="10845" w:y="134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与收益</w:t>
      </w:r>
    </w:p>
    <w:p>
      <w:pPr>
        <w:framePr w:w="451" w:x="845" w:y="13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w:t>
      </w:r>
    </w:p>
    <w:p>
      <w:pPr>
        <w:framePr w:w="662" w:x="10845" w:y="13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2605" w:x="845" w:y="139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年市场监管市级专项</w:t>
      </w:r>
    </w:p>
    <w:p>
      <w:pPr>
        <w:framePr w:w="874" w:x="10845" w:y="139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与收益</w:t>
      </w:r>
    </w:p>
    <w:p>
      <w:pPr>
        <w:framePr w:w="662" w:x="845" w:y="14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资金</w:t>
      </w:r>
    </w:p>
    <w:p>
      <w:pPr>
        <w:framePr w:w="662" w:x="10845" w:y="14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874" w:x="10845" w:y="145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与收益</w:t>
      </w:r>
    </w:p>
    <w:p>
      <w:pPr>
        <w:framePr w:w="1930" w:x="845" w:y="146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出口信用保险补助</w:t>
      </w:r>
    </w:p>
    <w:p>
      <w:pPr>
        <w:framePr w:w="1930" w:x="845" w:y="14663"/>
        <w:widowControl w:val="0"/>
        <w:autoSpaceDE w:val="0"/>
        <w:autoSpaceDN w:val="0"/>
        <w:spacing w:before="20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党组织经费</w:t>
      </w:r>
    </w:p>
    <w:p>
      <w:pPr>
        <w:framePr w:w="662" w:x="10845" w:y="148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2045" w:x="9674" w:y="150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w:t>
      </w:r>
      <w:r>
        <w:rPr>
          <w:rFonts w:ascii="SimSun" w:eastAsiaTheme="minorEastAsia" w:hAnsiTheme="minorHAnsi" w:cstheme="minorBidi"/>
          <w:color w:val="000000"/>
          <w:spacing w:val="11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与收益</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80" type="#_x0000_t75" style="width:445.6pt;height:2.7pt;margin-top:53.65pt;margin-left:87.45pt;mso-position-horizontal-relative:page;mso-position-vertical-relative:page;position:absolute;z-index:-251258880">
            <v:imagedata r:id="rId295" o:title=""/>
          </v:shape>
        </w:pict>
      </w:r>
      <w:r>
        <w:rPr>
          <w:noProof/>
        </w:rPr>
        <w:pict>
          <v:shape id="_x0000_s1381" type="#_x0000_t75" style="width:455.55pt;height:47.95pt;margin-top:186.85pt;margin-left:83pt;mso-position-horizontal-relative:page;mso-position-vertical-relative:page;position:absolute;z-index:-251355136">
            <v:imagedata r:id="rId296" o:title=""/>
          </v:shape>
        </w:pict>
      </w:r>
      <w:r>
        <w:rPr>
          <w:noProof/>
        </w:rPr>
        <w:pict>
          <v:shape id="_x0000_s1382" type="#_x0000_t75" style="width:550.9pt;height:459.5pt;margin-top:308.35pt;margin-left:35.35pt;mso-position-horizontal-relative:page;mso-position-vertical-relative:page;position:absolute;z-index:-251496448">
            <v:imagedata r:id="rId297" o:title=""/>
          </v:shape>
        </w:pict>
      </w:r>
    </w:p>
    <w:p>
      <w:pPr>
        <w:spacing w:line="0" w:lineRule="atLeast"/>
        <w:rPr>
          <w:rFonts w:ascii="Arial" w:eastAsiaTheme="minorEastAsia" w:hAnsiTheme="minorHAnsi" w:cstheme="minorBidi"/>
          <w:color w:val="FF0000"/>
          <w:sz w:val="2"/>
          <w:szCs w:val="22"/>
          <w:lang w:val="en-US" w:eastAsia="en-US" w:bidi="ar-SA"/>
        </w:rPr>
      </w:pPr>
      <w:bookmarkStart w:id="159" w:name="br1_158"/>
      <w:bookmarkEnd w:id="15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10845"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相关</w:t>
      </w:r>
    </w:p>
    <w:p>
      <w:pPr>
        <w:framePr w:w="662" w:x="845"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094" w:x="3512"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1,952,468.00</w:t>
      </w:r>
    </w:p>
    <w:p>
      <w:pPr>
        <w:framePr w:w="1507" w:x="7259"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3,800,426.51</w:t>
      </w:r>
    </w:p>
    <w:p>
      <w:pPr>
        <w:framePr w:w="1613" w:x="9254"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17,672,248.48</w:t>
      </w:r>
    </w:p>
    <w:p>
      <w:pPr>
        <w:framePr w:w="1296" w:x="1798" w:y="22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27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22" w:x="1798" w:y="3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其他非流动负债</w:t>
      </w:r>
    </w:p>
    <w:p>
      <w:pPr>
        <w:framePr w:w="2222" w:x="1798" w:y="328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22" w:x="1798" w:y="328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股本</w:t>
      </w:r>
    </w:p>
    <w:p>
      <w:pPr>
        <w:framePr w:w="1817" w:x="1798" w:y="48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4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5403"/>
        <w:widowControl w:val="0"/>
        <w:autoSpaceDE w:val="0"/>
        <w:autoSpaceDN w:val="0"/>
        <w:spacing w:before="348" w:line="211" w:lineRule="exact"/>
        <w:ind w:left="14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458" w:x="5586" w:y="56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本次变动增减（</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、一）</w:t>
      </w:r>
    </w:p>
    <w:p>
      <w:pPr>
        <w:framePr w:w="1085" w:x="2900" w:y="59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4379" w:y="59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发行</w:t>
      </w:r>
    </w:p>
    <w:p>
      <w:pPr>
        <w:framePr w:w="662" w:x="4379" w:y="596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新股</w:t>
      </w:r>
    </w:p>
    <w:p>
      <w:pPr>
        <w:framePr w:w="874" w:x="6279" w:y="59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公积金</w:t>
      </w:r>
    </w:p>
    <w:p>
      <w:pPr>
        <w:framePr w:w="662" w:x="5355" w:y="6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送股</w:t>
      </w:r>
    </w:p>
    <w:p>
      <w:pPr>
        <w:framePr w:w="662" w:x="7456" w:y="6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8526" w:y="6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小计</w:t>
      </w:r>
    </w:p>
    <w:p>
      <w:pPr>
        <w:framePr w:w="662" w:x="6385" w:y="6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转股</w:t>
      </w:r>
    </w:p>
    <w:p>
      <w:pPr>
        <w:framePr w:w="3651" w:x="1654" w:y="6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股份总数</w:t>
      </w:r>
      <w:r>
        <w:rPr>
          <w:rFonts w:eastAsiaTheme="minorEastAsia" w:hAnsiTheme="minorHAnsi" w:cstheme="minorBidi"/>
          <w:color w:val="000000"/>
          <w:spacing w:val="19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112,000,000</w:t>
      </w:r>
      <w:r>
        <w:rPr>
          <w:rFonts w:ascii="SimSun" w:eastAsiaTheme="minorEastAsia" w:hAnsiTheme="minorHAnsi" w:cstheme="minorBidi"/>
          <w:color w:val="000000"/>
          <w:spacing w:val="1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1,690,000</w:t>
      </w:r>
    </w:p>
    <w:p>
      <w:pPr>
        <w:framePr w:w="1296" w:x="6071" w:y="6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w:t>
      </w:r>
    </w:p>
    <w:p>
      <w:pPr>
        <w:framePr w:w="1296" w:x="8212" w:y="6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46,490,000</w:t>
      </w:r>
    </w:p>
    <w:p>
      <w:pPr>
        <w:framePr w:w="1402" w:x="9751" w:y="6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158,490,000</w:t>
      </w:r>
    </w:p>
    <w:p>
      <w:pPr>
        <w:framePr w:w="1296" w:x="1798" w:y="6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9078" w:x="1798" w:y="725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6"/>
          <w:sz w:val="21"/>
          <w:szCs w:val="22"/>
          <w:lang w:val="en-US" w:eastAsia="en-US" w:bidi="ar-SA"/>
        </w:rPr>
        <w:t>年年度股东大会审议通过，以截至</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日总股本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w:t>
      </w:r>
      <w:r>
        <w:rPr>
          <w:rFonts w:ascii="SimSun" w:hAnsi="SimSun" w:eastAsiaTheme="minorEastAsia" w:cs="SimSun"/>
          <w:color w:val="000000"/>
          <w:sz w:val="21"/>
          <w:szCs w:val="22"/>
          <w:lang w:val="en-US" w:eastAsia="en-US" w:bidi="ar-SA"/>
        </w:rPr>
        <w:t>万股为基数向全</w:t>
      </w:r>
    </w:p>
    <w:p>
      <w:pPr>
        <w:framePr w:w="9078" w:x="1798" w:y="725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体股东以资本公积转增股本方式每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股转增</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股，合计转增</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4,480</w:t>
      </w:r>
      <w:r>
        <w:rPr>
          <w:rFonts w:ascii="SimSun" w:hAnsi="SimSun" w:eastAsiaTheme="minorEastAsia" w:cs="SimSun"/>
          <w:color w:val="000000"/>
          <w:sz w:val="21"/>
          <w:szCs w:val="22"/>
          <w:lang w:val="en-US" w:eastAsia="en-US" w:bidi="ar-SA"/>
        </w:rPr>
        <w:t>万股，转增后公司总股本为</w:t>
      </w:r>
    </w:p>
    <w:p>
      <w:pPr>
        <w:framePr w:w="9078" w:x="1798" w:y="725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15,680</w:t>
      </w:r>
      <w:r>
        <w:rPr>
          <w:rFonts w:ascii="SimSun" w:hAnsi="SimSun" w:eastAsiaTheme="minorEastAsia" w:cs="SimSun"/>
          <w:color w:val="000000"/>
          <w:sz w:val="21"/>
          <w:szCs w:val="22"/>
          <w:lang w:val="en-US" w:eastAsia="en-US" w:bidi="ar-SA"/>
        </w:rPr>
        <w:t>万股。</w:t>
      </w:r>
    </w:p>
    <w:p>
      <w:pPr>
        <w:framePr w:w="9110" w:x="1798" w:y="86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3"/>
          <w:sz w:val="21"/>
          <w:szCs w:val="22"/>
          <w:lang w:val="en-US" w:eastAsia="en-US" w:bidi="ar-SA"/>
        </w:rPr>
        <w:t>日召开第三届董事会第十八次会议和第三届监事会第十八次会议，审议</w:t>
      </w:r>
    </w:p>
    <w:p>
      <w:pPr>
        <w:framePr w:w="9110" w:x="1798" w:y="8602"/>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通过了《关于向公司</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2"/>
          <w:sz w:val="21"/>
          <w:szCs w:val="22"/>
          <w:lang w:val="en-US" w:eastAsia="en-US" w:bidi="ar-SA"/>
        </w:rPr>
        <w:t>年限制性股票激励计划激励对象授予限制性股票的议案》，向符合授予</w:t>
      </w:r>
    </w:p>
    <w:p>
      <w:pPr>
        <w:framePr w:w="9110" w:x="1798" w:y="86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条件的</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34</w:t>
      </w:r>
      <w:r>
        <w:rPr>
          <w:rFonts w:ascii="SimSun" w:hAnsi="SimSun" w:eastAsiaTheme="minorEastAsia" w:cs="SimSun"/>
          <w:color w:val="000000"/>
          <w:sz w:val="21"/>
          <w:szCs w:val="22"/>
          <w:lang w:val="en-US" w:eastAsia="en-US" w:bidi="ar-SA"/>
        </w:rPr>
        <w:t>名激励对象授予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pacing w:val="-8"/>
          <w:sz w:val="21"/>
          <w:szCs w:val="22"/>
          <w:lang w:val="en-US" w:eastAsia="en-US" w:bidi="ar-SA"/>
        </w:rPr>
        <w:t>万股限制性股票。公司于</w:t>
      </w:r>
      <w:r>
        <w:rPr>
          <w:rFonts w:eastAsiaTheme="minorEastAsia" w:hAnsiTheme="minorHAnsi" w:cstheme="minorBidi"/>
          <w:color w:val="000000"/>
          <w:spacing w:val="1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日在中国证券登记结算有</w:t>
      </w:r>
    </w:p>
    <w:p>
      <w:pPr>
        <w:framePr w:w="9110" w:x="1798" w:y="86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限责任公司上海分公司完成</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年限制性股票激励计划授予登记工作，公司总股本由</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w:t>
      </w:r>
      <w:r>
        <w:rPr>
          <w:rFonts w:ascii="SimSun" w:hAnsi="SimSun" w:eastAsiaTheme="minorEastAsia" w:cs="SimSun"/>
          <w:color w:val="000000"/>
          <w:sz w:val="21"/>
          <w:szCs w:val="22"/>
          <w:lang w:val="en-US" w:eastAsia="en-US" w:bidi="ar-SA"/>
        </w:rPr>
        <w:t>万</w:t>
      </w:r>
    </w:p>
    <w:p>
      <w:pPr>
        <w:framePr w:w="9110" w:x="1798" w:y="86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股变更为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15,849</w:t>
      </w:r>
      <w:r>
        <w:rPr>
          <w:rFonts w:ascii="SimSun" w:hAnsi="SimSun" w:eastAsiaTheme="minorEastAsia" w:cs="SimSun"/>
          <w:color w:val="000000"/>
          <w:sz w:val="21"/>
          <w:szCs w:val="22"/>
          <w:lang w:val="en-US" w:eastAsia="en-US" w:bidi="ar-SA"/>
        </w:rPr>
        <w:t>万股。</w:t>
      </w:r>
    </w:p>
    <w:p>
      <w:pPr>
        <w:framePr w:w="2011" w:x="1798" w:y="10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其他权益工具</w:t>
      </w:r>
    </w:p>
    <w:p>
      <w:pPr>
        <w:framePr w:w="5942" w:x="1798" w:y="112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期末发行在外的优先股、永续债等其他金融工具基本情况</w:t>
      </w:r>
    </w:p>
    <w:p>
      <w:pPr>
        <w:framePr w:w="1817" w:x="1798" w:y="11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31" w:x="1798" w:y="123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期末发行在外的优先股、永续债等金融工具变动情况表</w:t>
      </w:r>
    </w:p>
    <w:p>
      <w:pPr>
        <w:framePr w:w="1817" w:x="1798" w:y="128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421" w:x="1798" w:y="134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其他权益工具本期增减变动情况、变动原因说明，以及相关会计处理的依据：</w:t>
      </w:r>
    </w:p>
    <w:p>
      <w:pPr>
        <w:framePr w:w="1817" w:x="1798" w:y="139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3938"/>
        <w:widowControl w:val="0"/>
        <w:autoSpaceDE w:val="0"/>
        <w:autoSpaceDN w:val="0"/>
        <w:spacing w:before="31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r>
        <w:rPr>
          <w:rFonts w:ascii="SimSun" w:eastAsiaTheme="minorEastAsia" w:hAnsiTheme="minorHAnsi" w:cstheme="minorBidi"/>
          <w:color w:val="000000"/>
          <w:sz w:val="21"/>
          <w:szCs w:val="22"/>
          <w:lang w:val="en-US" w:eastAsia="en-US" w:bidi="ar-SA"/>
        </w:rPr>
        <w:t>:</w:t>
      </w:r>
    </w:p>
    <w:p>
      <w:pPr>
        <w:framePr w:w="1817" w:x="1798" w:y="14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83" type="#_x0000_t75" style="width:445.6pt;height:2.7pt;margin-top:53.65pt;margin-left:87.45pt;mso-position-horizontal-relative:page;mso-position-vertical-relative:page;position:absolute;z-index:-251257856">
            <v:imagedata r:id="rId298" o:title=""/>
          </v:shape>
        </w:pict>
      </w:r>
      <w:r>
        <w:rPr>
          <w:noProof/>
        </w:rPr>
        <w:pict>
          <v:shape id="_x0000_s1384" type="#_x0000_t75" style="width:550.9pt;height:30.8pt;margin-top:74.3pt;margin-left:35.35pt;mso-position-horizontal-relative:page;mso-position-vertical-relative:page;position:absolute;z-index:-251354112">
            <v:imagedata r:id="rId299" o:title=""/>
          </v:shape>
        </w:pict>
      </w:r>
      <w:r>
        <w:rPr>
          <w:noProof/>
        </w:rPr>
        <w:pict>
          <v:shape id="_x0000_s1385" type="#_x0000_t75" style="width:477.4pt;height:58.4pt;margin-top:281.35pt;margin-left:74.5pt;mso-position-horizontal-relative:page;mso-position-vertical-relative:page;position:absolute;z-index:-251495424">
            <v:imagedata r:id="rId300" o:title=""/>
          </v:shape>
        </w:pict>
      </w:r>
    </w:p>
    <w:p>
      <w:pPr>
        <w:spacing w:line="0" w:lineRule="atLeast"/>
        <w:rPr>
          <w:rFonts w:ascii="Arial" w:eastAsiaTheme="minorEastAsia" w:hAnsiTheme="minorHAnsi" w:cstheme="minorBidi"/>
          <w:color w:val="FF0000"/>
          <w:sz w:val="2"/>
          <w:szCs w:val="22"/>
          <w:lang w:val="en-US" w:eastAsia="en-US" w:bidi="ar-SA"/>
        </w:rPr>
      </w:pPr>
      <w:bookmarkStart w:id="160" w:name="br1_159"/>
      <w:bookmarkEnd w:id="16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8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资本公积</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2328"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3882"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720"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7569"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405"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3545" w:x="1798" w:y="3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资本溢价（股本</w:t>
      </w:r>
      <w:r>
        <w:rPr>
          <w:rFonts w:eastAsiaTheme="minorEastAsia" w:hAnsiTheme="minorHAnsi" w:cstheme="minorBidi"/>
          <w:color w:val="000000"/>
          <w:spacing w:val="30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445,021,562.58</w:t>
      </w:r>
    </w:p>
    <w:p>
      <w:pPr>
        <w:framePr w:w="1613" w:x="5591" w:y="3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11,677,900.00</w:t>
      </w:r>
    </w:p>
    <w:p>
      <w:pPr>
        <w:framePr w:w="3445" w:x="7429" w:y="3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44,800,000.00</w:t>
      </w:r>
      <w:r>
        <w:rPr>
          <w:rFonts w:ascii="SimSun" w:eastAsiaTheme="minorEastAsia" w:hAnsiTheme="minorHAnsi" w:cstheme="minorBidi"/>
          <w:color w:val="000000"/>
          <w:spacing w:val="25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411,899,462.58</w:t>
      </w:r>
    </w:p>
    <w:p>
      <w:pPr>
        <w:framePr w:w="874" w:x="1798" w:y="34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溢价）</w:t>
      </w:r>
    </w:p>
    <w:p>
      <w:pPr>
        <w:framePr w:w="1507" w:x="1798" w:y="3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其他资本公积</w:t>
      </w:r>
    </w:p>
    <w:p>
      <w:pPr>
        <w:framePr w:w="1613" w:x="5591" w:y="371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3,644,300.00</w:t>
      </w:r>
    </w:p>
    <w:p>
      <w:pPr>
        <w:framePr w:w="1613" w:x="5591" w:y="371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15,322,200.00</w:t>
      </w:r>
    </w:p>
    <w:p>
      <w:pPr>
        <w:framePr w:w="1507" w:x="9372" w:y="3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3,644,300.00</w:t>
      </w:r>
    </w:p>
    <w:p>
      <w:pPr>
        <w:framePr w:w="662" w:x="2328" w:y="39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3629" w:y="39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445,021,562.58</w:t>
      </w:r>
    </w:p>
    <w:p>
      <w:pPr>
        <w:framePr w:w="3445" w:x="7429" w:y="39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44,800,000.00</w:t>
      </w:r>
      <w:r>
        <w:rPr>
          <w:rFonts w:ascii="SimSun" w:eastAsiaTheme="minorEastAsia" w:hAnsiTheme="minorHAnsi" w:cstheme="minorBidi"/>
          <w:color w:val="000000"/>
          <w:spacing w:val="25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415,543,762.58</w:t>
      </w:r>
    </w:p>
    <w:p>
      <w:pPr>
        <w:framePr w:w="5098" w:x="1798" w:y="43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其他说明，包括本期增减变动情况、变动原因说明：</w:t>
      </w:r>
    </w:p>
    <w:p>
      <w:pPr>
        <w:framePr w:w="9078" w:x="1798" w:y="492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、经</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年年度股东大会审议通过，以截至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日总股本</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w:t>
      </w:r>
      <w:r>
        <w:rPr>
          <w:rFonts w:ascii="SimSun" w:hAnsi="SimSun" w:eastAsiaTheme="minorEastAsia" w:cs="SimSun"/>
          <w:color w:val="000000"/>
          <w:sz w:val="21"/>
          <w:szCs w:val="22"/>
          <w:lang w:val="en-US" w:eastAsia="en-US" w:bidi="ar-SA"/>
        </w:rPr>
        <w:t>万股为基数</w:t>
      </w:r>
    </w:p>
    <w:p>
      <w:pPr>
        <w:framePr w:w="9078" w:x="1798" w:y="49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向全体股东以资本公积转增股本方式每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股转增</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pacing w:val="-7"/>
          <w:sz w:val="21"/>
          <w:szCs w:val="22"/>
          <w:lang w:val="en-US" w:eastAsia="en-US" w:bidi="ar-SA"/>
        </w:rPr>
        <w:t>股，合计转增</w:t>
      </w:r>
      <w:r>
        <w:rPr>
          <w:rFonts w:eastAsiaTheme="minorEastAsia" w:hAnsiTheme="minorHAnsi" w:cstheme="minorBidi"/>
          <w:color w:val="000000"/>
          <w:spacing w:val="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4,480</w:t>
      </w:r>
      <w:r>
        <w:rPr>
          <w:rFonts w:ascii="SimSun" w:hAnsi="SimSun" w:eastAsiaTheme="minorEastAsia" w:cs="SimSun"/>
          <w:color w:val="000000"/>
          <w:spacing w:val="-4"/>
          <w:sz w:val="21"/>
          <w:szCs w:val="22"/>
          <w:lang w:val="en-US" w:eastAsia="en-US" w:bidi="ar-SA"/>
        </w:rPr>
        <w:t>万股，转增后公司总股本</w:t>
      </w:r>
    </w:p>
    <w:p>
      <w:pPr>
        <w:framePr w:w="9078" w:x="1798" w:y="492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w:t>
      </w:r>
      <w:r>
        <w:rPr>
          <w:rFonts w:ascii="SimSun" w:hAnsi="SimSun" w:eastAsiaTheme="minorEastAsia" w:cs="SimSun"/>
          <w:color w:val="000000"/>
          <w:sz w:val="21"/>
          <w:szCs w:val="22"/>
          <w:lang w:val="en-US" w:eastAsia="en-US" w:bidi="ar-SA"/>
        </w:rPr>
        <w:t>万股。。</w:t>
      </w:r>
    </w:p>
    <w:p>
      <w:pPr>
        <w:framePr w:w="9110" w:x="1798" w:y="627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z w:val="21"/>
          <w:szCs w:val="22"/>
          <w:lang w:val="en-US" w:eastAsia="en-US" w:bidi="ar-SA"/>
        </w:rPr>
        <w:t>日，公司召开第三届董事会第十八次会议和第三届监事会第十八次会议，</w:t>
      </w:r>
    </w:p>
    <w:p>
      <w:pPr>
        <w:framePr w:w="9110" w:x="1798" w:y="627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审议通过了《关于向公司</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2"/>
          <w:sz w:val="21"/>
          <w:szCs w:val="22"/>
          <w:lang w:val="en-US" w:eastAsia="en-US" w:bidi="ar-SA"/>
        </w:rPr>
        <w:t>年限制性股票激励计划激励对象授予限制性股票的议案》，公司已</w:t>
      </w:r>
    </w:p>
    <w:p>
      <w:pPr>
        <w:framePr w:w="9110" w:x="1798" w:y="627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收到</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34</w:t>
      </w:r>
      <w:r>
        <w:rPr>
          <w:rFonts w:ascii="SimSun" w:hAnsi="SimSun" w:eastAsiaTheme="minorEastAsia" w:cs="SimSun"/>
          <w:color w:val="000000"/>
          <w:sz w:val="21"/>
          <w:szCs w:val="22"/>
          <w:lang w:val="en-US" w:eastAsia="en-US" w:bidi="ar-SA"/>
        </w:rPr>
        <w:t>名激励对象以货币资金缴纳的限制性股票认购款合计</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13,367,900.00</w:t>
      </w:r>
      <w:r>
        <w:rPr>
          <w:rFonts w:ascii="SimSun" w:hAnsi="SimSun" w:eastAsiaTheme="minorEastAsia" w:cs="SimSun"/>
          <w:color w:val="000000"/>
          <w:sz w:val="21"/>
          <w:szCs w:val="22"/>
          <w:lang w:val="en-US" w:eastAsia="en-US" w:bidi="ar-SA"/>
        </w:rPr>
        <w:t>元，其中计入股本</w:t>
      </w:r>
    </w:p>
    <w:p>
      <w:pPr>
        <w:framePr w:w="9110" w:x="1798" w:y="627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1,690,000.00</w:t>
      </w:r>
      <w:r>
        <w:rPr>
          <w:rFonts w:ascii="SimSun" w:hAnsi="SimSun" w:eastAsiaTheme="minorEastAsia" w:cs="SimSun"/>
          <w:color w:val="000000"/>
          <w:sz w:val="21"/>
          <w:szCs w:val="22"/>
          <w:lang w:val="en-US" w:eastAsia="en-US" w:bidi="ar-SA"/>
        </w:rPr>
        <w:t>元，计入资本公积（股本溢价）</w:t>
      </w:r>
      <w:r>
        <w:rPr>
          <w:rFonts w:ascii="SimSun" w:eastAsiaTheme="minorEastAsia" w:hAnsiTheme="minorHAnsi" w:cstheme="minorBidi"/>
          <w:color w:val="000000"/>
          <w:sz w:val="21"/>
          <w:szCs w:val="22"/>
          <w:lang w:val="en-US" w:eastAsia="en-US" w:bidi="ar-SA"/>
        </w:rPr>
        <w:t>11,677,900.00</w:t>
      </w:r>
      <w:r>
        <w:rPr>
          <w:rFonts w:ascii="SimSun" w:hAnsi="SimSun" w:eastAsiaTheme="minorEastAsia" w:cs="SimSun"/>
          <w:color w:val="000000"/>
          <w:spacing w:val="1"/>
          <w:sz w:val="21"/>
          <w:szCs w:val="22"/>
          <w:lang w:val="en-US" w:eastAsia="en-US" w:bidi="ar-SA"/>
        </w:rPr>
        <w:t>元。</w:t>
      </w:r>
    </w:p>
    <w:p>
      <w:pPr>
        <w:framePr w:w="8012" w:x="1798" w:y="802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、本期计提限制性股票相关的员工服务费用，导致资本公积</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其他资本公积增加</w:t>
      </w:r>
    </w:p>
    <w:p>
      <w:pPr>
        <w:framePr w:w="8012" w:x="1798" w:y="802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3,644,300.00</w:t>
      </w:r>
      <w:r>
        <w:rPr>
          <w:rFonts w:ascii="SimSun" w:hAnsi="SimSun" w:eastAsiaTheme="minorEastAsia" w:cs="SimSun"/>
          <w:color w:val="000000"/>
          <w:spacing w:val="1"/>
          <w:sz w:val="21"/>
          <w:szCs w:val="22"/>
          <w:lang w:val="en-US" w:eastAsia="en-US" w:bidi="ar-SA"/>
        </w:rPr>
        <w:t>元。</w:t>
      </w:r>
    </w:p>
    <w:p>
      <w:pPr>
        <w:framePr w:w="1378" w:x="1798" w:y="8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库存股</w:t>
      </w:r>
    </w:p>
    <w:p>
      <w:pPr>
        <w:framePr w:w="1817" w:x="1798" w:y="94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00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2367" w:y="10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4004" w:y="10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703" w:y="10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7547" w:y="10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398" w:y="10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930" w:x="1628" w:y="105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实行股权激励回购</w:t>
      </w:r>
    </w:p>
    <w:p>
      <w:pPr>
        <w:framePr w:w="1613" w:x="5562" w:y="105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1613" w:x="9266" w:y="105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662" w:x="2367" w:y="11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5564" w:y="111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1613" w:x="9266" w:y="111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5098" w:x="1798" w:y="115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其他说明，包括本期增减变动情况、变动原因说明：</w:t>
      </w:r>
    </w:p>
    <w:p>
      <w:pPr>
        <w:framePr w:w="9110" w:x="1798" w:y="1207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pacing w:val="-1"/>
          <w:sz w:val="21"/>
          <w:szCs w:val="22"/>
          <w:lang w:val="en-US" w:eastAsia="en-US" w:bidi="ar-SA"/>
        </w:rPr>
        <w:t>日，公司召开第三届董事会第十八次会议和第三届监事会第十八次会议，审议</w:t>
      </w:r>
    </w:p>
    <w:p>
      <w:pPr>
        <w:framePr w:w="9110" w:x="1798" w:y="12070"/>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通过了《关于向公司</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2"/>
          <w:sz w:val="21"/>
          <w:szCs w:val="22"/>
          <w:lang w:val="en-US" w:eastAsia="en-US" w:bidi="ar-SA"/>
        </w:rPr>
        <w:t>年限制性股票激励计划激励对象授予限制性股票的议案》，公司已收到</w:t>
      </w:r>
    </w:p>
    <w:p>
      <w:pPr>
        <w:framePr w:w="9110" w:x="1798" w:y="1207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w:t>
      </w:r>
      <w:r>
        <w:rPr>
          <w:rFonts w:ascii="SimSun" w:hAnsi="SimSun" w:eastAsiaTheme="minorEastAsia" w:cs="SimSun"/>
          <w:color w:val="000000"/>
          <w:sz w:val="21"/>
          <w:szCs w:val="22"/>
          <w:lang w:val="en-US" w:eastAsia="en-US" w:bidi="ar-SA"/>
        </w:rPr>
        <w:t>名激励对象以货币资金缴纳的限制性股票认购款合计</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13,367,900.00</w:t>
      </w:r>
      <w:r>
        <w:rPr>
          <w:rFonts w:ascii="SimSun" w:hAnsi="SimSun" w:eastAsiaTheme="minorEastAsia" w:cs="SimSun"/>
          <w:color w:val="000000"/>
          <w:spacing w:val="-3"/>
          <w:sz w:val="21"/>
          <w:szCs w:val="22"/>
          <w:lang w:val="en-US" w:eastAsia="en-US" w:bidi="ar-SA"/>
        </w:rPr>
        <w:t>元，按回购义务确认库存</w:t>
      </w:r>
    </w:p>
    <w:p>
      <w:pPr>
        <w:framePr w:w="9110" w:x="1798" w:y="1207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13,367,900.00</w:t>
      </w:r>
      <w:r>
        <w:rPr>
          <w:rFonts w:ascii="SimSun" w:hAnsi="SimSun" w:eastAsiaTheme="minorEastAsia" w:cs="SimSun"/>
          <w:color w:val="000000"/>
          <w:spacing w:val="-1"/>
          <w:sz w:val="21"/>
          <w:szCs w:val="22"/>
          <w:lang w:val="en-US" w:eastAsia="en-US" w:bidi="ar-SA"/>
        </w:rPr>
        <w:t>元。</w:t>
      </w:r>
    </w:p>
    <w:p>
      <w:pPr>
        <w:framePr w:w="2011" w:x="1798" w:y="138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其他综合收益</w:t>
      </w:r>
    </w:p>
    <w:p>
      <w:pPr>
        <w:framePr w:w="1817" w:x="1798" w:y="143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86" type="#_x0000_t75" style="width:445.6pt;height:2.7pt;margin-top:53.65pt;margin-left:87.45pt;mso-position-horizontal-relative:page;mso-position-vertical-relative:page;position:absolute;z-index:-251256832">
            <v:imagedata r:id="rId301" o:title=""/>
          </v:shape>
        </w:pict>
      </w:r>
      <w:r>
        <w:rPr>
          <w:noProof/>
        </w:rPr>
        <w:pict>
          <v:shape id="_x0000_s1387" type="#_x0000_t75" style="width:455.55pt;height:72.7pt;margin-top:140.8pt;margin-left:83pt;mso-position-horizontal-relative:page;mso-position-vertical-relative:page;position:absolute;z-index:-251353088">
            <v:imagedata r:id="rId302" o:title=""/>
          </v:shape>
        </w:pict>
      </w:r>
      <w:r>
        <w:rPr>
          <w:noProof/>
        </w:rPr>
        <w:pict>
          <v:shape id="_x0000_s1388" type="#_x0000_t75" style="width:463.95pt;height:58.4pt;margin-top:512.25pt;margin-left:74.5pt;mso-position-horizontal-relative:page;mso-position-vertical-relative:page;position:absolute;z-index:-251494400">
            <v:imagedata r:id="rId303" o:title=""/>
          </v:shape>
        </w:pict>
      </w:r>
    </w:p>
    <w:p>
      <w:pPr>
        <w:spacing w:line="0" w:lineRule="atLeast"/>
        <w:rPr>
          <w:rFonts w:ascii="Arial" w:eastAsiaTheme="minorEastAsia" w:hAnsiTheme="minorHAnsi" w:cstheme="minorBidi"/>
          <w:color w:val="FF0000"/>
          <w:sz w:val="2"/>
          <w:szCs w:val="22"/>
          <w:lang w:val="en-US" w:eastAsia="en-US" w:bidi="ar-SA"/>
        </w:rPr>
      </w:pPr>
      <w:bookmarkStart w:id="161" w:name="br1_160"/>
      <w:bookmarkEnd w:id="16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8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专项储备</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296" w:x="1798" w:y="2875"/>
        <w:widowControl w:val="0"/>
        <w:autoSpaceDE w:val="0"/>
        <w:autoSpaceDN w:val="0"/>
        <w:spacing w:line="211" w:lineRule="exact"/>
        <w:ind w:left="5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1798" w:y="287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安全生产费</w:t>
      </w:r>
    </w:p>
    <w:p>
      <w:pPr>
        <w:framePr w:w="1296" w:x="1798" w:y="2875"/>
        <w:widowControl w:val="0"/>
        <w:autoSpaceDE w:val="0"/>
        <w:autoSpaceDN w:val="0"/>
        <w:spacing w:before="72" w:line="211" w:lineRule="exact"/>
        <w:ind w:left="5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3887"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711"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7554"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405"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3740" w:y="3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613" w:x="3740" w:y="31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613" w:x="5564" w:y="3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15,088,157.73</w:t>
      </w:r>
    </w:p>
    <w:p>
      <w:pPr>
        <w:framePr w:w="1613" w:x="5564" w:y="31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15,088,157.73</w:t>
      </w:r>
    </w:p>
    <w:p>
      <w:pPr>
        <w:framePr w:w="1613" w:x="7427" w:y="3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14,561,198.97</w:t>
      </w:r>
    </w:p>
    <w:p>
      <w:pPr>
        <w:framePr w:w="1613" w:x="7427" w:y="31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14,561,198.97</w:t>
      </w:r>
    </w:p>
    <w:p>
      <w:pPr>
        <w:framePr w:w="1613" w:x="9266" w:y="3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39,559,572.65</w:t>
      </w:r>
    </w:p>
    <w:p>
      <w:pPr>
        <w:framePr w:w="1613" w:x="9266" w:y="31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39,559,572.65</w:t>
      </w:r>
    </w:p>
    <w:p>
      <w:pPr>
        <w:framePr w:w="5098" w:x="1798" w:y="38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其他说明，包括本期增减变动情况、变动原因说明：</w:t>
      </w:r>
    </w:p>
    <w:p>
      <w:pPr>
        <w:framePr w:w="451" w:x="1798" w:y="4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817" w:x="1798" w:y="49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盈余公积</w:t>
      </w:r>
    </w:p>
    <w:p>
      <w:pPr>
        <w:framePr w:w="1817" w:x="1798" w:y="490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9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507" w:x="1798" w:y="6240"/>
        <w:widowControl w:val="0"/>
        <w:autoSpaceDE w:val="0"/>
        <w:autoSpaceDN w:val="0"/>
        <w:spacing w:line="211" w:lineRule="exact"/>
        <w:ind w:left="59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1798" w:y="62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法定盈余公积</w:t>
      </w:r>
    </w:p>
    <w:p>
      <w:pPr>
        <w:framePr w:w="1507" w:x="1798" w:y="624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任意盈余公积</w:t>
      </w:r>
    </w:p>
    <w:p>
      <w:pPr>
        <w:framePr w:w="1507" w:x="1798" w:y="62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储备基金</w:t>
      </w:r>
    </w:p>
    <w:p>
      <w:pPr>
        <w:framePr w:w="1085" w:x="3918" w:y="6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718" w:y="6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7530" w:y="6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340" w:y="6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3660" w:y="6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507" w:x="5571" w:y="6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6,534,040.33</w:t>
      </w:r>
    </w:p>
    <w:p>
      <w:pPr>
        <w:framePr w:w="1613" w:x="9088" w:y="6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63,078,326.02</w:t>
      </w:r>
    </w:p>
    <w:p>
      <w:pPr>
        <w:framePr w:w="1507" w:x="1798" w:y="7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企业发展基金</w:t>
      </w:r>
    </w:p>
    <w:p>
      <w:pPr>
        <w:framePr w:w="1507" w:x="1798" w:y="736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2393" w:y="79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3660" w:y="79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507" w:x="5571" w:y="79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6,534,040.33</w:t>
      </w:r>
    </w:p>
    <w:p>
      <w:pPr>
        <w:framePr w:w="1613" w:x="9088" w:y="79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63,078,326.02</w:t>
      </w:r>
    </w:p>
    <w:p>
      <w:pPr>
        <w:framePr w:w="8752" w:x="1798" w:y="82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盈余公积说明，包括本期增减变动情况、变动原因说明：</w:t>
      </w:r>
    </w:p>
    <w:p>
      <w:pPr>
        <w:framePr w:w="8752" w:x="1798" w:y="8275"/>
        <w:widowControl w:val="0"/>
        <w:autoSpaceDE w:val="0"/>
        <w:autoSpaceDN w:val="0"/>
        <w:spacing w:before="18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本期新增法定盈余公积为根据公司章程与《公司法》规定，按母公司净利润的</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计提。</w:t>
      </w:r>
    </w:p>
    <w:p>
      <w:pPr>
        <w:framePr w:w="1817" w:x="1798" w:y="91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未分配利润</w:t>
      </w:r>
    </w:p>
    <w:p>
      <w:pPr>
        <w:framePr w:w="1817" w:x="1798" w:y="9198"/>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98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9802"/>
        <w:widowControl w:val="0"/>
        <w:autoSpaceDE w:val="0"/>
        <w:autoSpaceDN w:val="0"/>
        <w:spacing w:before="72" w:line="211" w:lineRule="exact"/>
        <w:ind w:left="84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w:t>
      </w:r>
    </w:p>
    <w:p>
      <w:pPr>
        <w:framePr w:w="662" w:x="3221" w:y="100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6381" w:y="100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w:t>
      </w:r>
    </w:p>
    <w:p>
      <w:pPr>
        <w:framePr w:w="3725" w:x="1798" w:y="103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调整前上期末未分配利润</w:t>
      </w:r>
    </w:p>
    <w:p>
      <w:pPr>
        <w:framePr w:w="3725" w:x="1798" w:y="1036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调整期初未分配利润合计数（调增</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3725" w:x="1798" w:y="1036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调减－）</w:t>
      </w:r>
    </w:p>
    <w:p>
      <w:pPr>
        <w:framePr w:w="1718" w:x="6414" w:y="103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1718" w:x="9160" w:y="103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699,959,577.53</w:t>
      </w:r>
    </w:p>
    <w:p>
      <w:pPr>
        <w:framePr w:w="3619" w:x="1798" w:y="112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调整后期初未分配利润</w:t>
      </w:r>
    </w:p>
    <w:p>
      <w:pPr>
        <w:framePr w:w="3619" w:x="1798" w:y="112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加：本期归属于母公司所有者的净利</w:t>
      </w:r>
    </w:p>
    <w:p>
      <w:pPr>
        <w:framePr w:w="3619" w:x="1798" w:y="1120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润</w:t>
      </w:r>
    </w:p>
    <w:p>
      <w:pPr>
        <w:framePr w:w="1718" w:x="6414" w:y="112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1718" w:x="6414" w:y="1120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176,034,335.10</w:t>
      </w:r>
    </w:p>
    <w:p>
      <w:pPr>
        <w:framePr w:w="1718" w:x="9156" w:y="112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699,959,577.53</w:t>
      </w:r>
    </w:p>
    <w:p>
      <w:pPr>
        <w:framePr w:w="1718" w:x="9156" w:y="1120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204,618,341.01</w:t>
      </w:r>
    </w:p>
    <w:p>
      <w:pPr>
        <w:framePr w:w="2352" w:x="1798" w:y="120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减：提取法定盈余公积</w:t>
      </w:r>
    </w:p>
    <w:p>
      <w:pPr>
        <w:framePr w:w="2352" w:x="1798" w:y="12042"/>
        <w:widowControl w:val="0"/>
        <w:autoSpaceDE w:val="0"/>
        <w:autoSpaceDN w:val="0"/>
        <w:spacing w:before="73"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提取任意盈余公积</w:t>
      </w:r>
    </w:p>
    <w:p>
      <w:pPr>
        <w:framePr w:w="1507" w:x="6633" w:y="120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6,534,040.33</w:t>
      </w:r>
    </w:p>
    <w:p>
      <w:pPr>
        <w:framePr w:w="1930" w:x="2218" w:y="126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提取一般风险准备</w:t>
      </w:r>
    </w:p>
    <w:p>
      <w:pPr>
        <w:framePr w:w="1718" w:x="2218" w:y="128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应付普通股股利</w:t>
      </w:r>
    </w:p>
    <w:p>
      <w:pPr>
        <w:framePr w:w="1613" w:x="6527" w:y="128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33,600,000.00</w:t>
      </w:r>
    </w:p>
    <w:p>
      <w:pPr>
        <w:framePr w:w="2763" w:x="1798" w:y="1317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转作股本的普通股股利</w:t>
      </w:r>
    </w:p>
    <w:p>
      <w:pPr>
        <w:framePr w:w="2763" w:x="1798" w:y="1317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期末未分配利润</w:t>
      </w:r>
    </w:p>
    <w:p>
      <w:pPr>
        <w:framePr w:w="1930" w:x="6212" w:y="134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1,040,478,213.31</w:t>
      </w:r>
    </w:p>
    <w:p>
      <w:pPr>
        <w:framePr w:w="1718" w:x="9156" w:y="134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2774" w:x="1798" w:y="138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调整期初未分配利润明细：</w:t>
      </w:r>
    </w:p>
    <w:p>
      <w:pPr>
        <w:framePr w:w="8488" w:x="1798" w:y="143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、由于《企业会计准则》及其相关新规定进行追溯调整，影响期初未分配利润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8488" w:x="1798" w:y="1438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、由于会计政策变更，影响期初未分配利润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89" type="#_x0000_t75" style="width:445.6pt;height:2.7pt;margin-top:53.65pt;margin-left:87.45pt;mso-position-horizontal-relative:page;mso-position-vertical-relative:page;position:absolute;z-index:-251202560">
            <v:imagedata r:id="rId304" o:title=""/>
          </v:shape>
        </w:pict>
      </w:r>
      <w:r>
        <w:rPr>
          <w:noProof/>
        </w:rPr>
        <w:pict>
          <v:shape id="_x0000_s1390" type="#_x0000_t75" style="width:455.55pt;height:44.85pt;margin-top:140.8pt;margin-left:83pt;mso-position-horizontal-relative:page;mso-position-vertical-relative:page;position:absolute;z-index:-251255808">
            <v:imagedata r:id="rId305" o:title=""/>
          </v:shape>
        </w:pict>
      </w:r>
      <w:r>
        <w:rPr>
          <w:noProof/>
        </w:rPr>
        <w:pict>
          <v:shape id="_x0000_s1391" type="#_x0000_t75" style="width:447.3pt;height:101.25pt;margin-top:309.05pt;margin-left:87.1pt;mso-position-horizontal-relative:page;mso-position-vertical-relative:page;position:absolute;z-index:-251352064">
            <v:imagedata r:id="rId306" o:title=""/>
          </v:shape>
        </w:pict>
      </w:r>
      <w:r>
        <w:rPr>
          <w:noProof/>
        </w:rPr>
        <w:pict>
          <v:shape id="_x0000_s1392" type="#_x0000_t75" style="width:455.55pt;height:185.05pt;margin-top:501.3pt;margin-left:83pt;mso-position-horizontal-relative:page;mso-position-vertical-relative:page;position:absolute;z-index:-251493376">
            <v:imagedata r:id="rId307" o:title=""/>
          </v:shape>
        </w:pict>
      </w:r>
    </w:p>
    <w:p>
      <w:pPr>
        <w:spacing w:line="0" w:lineRule="atLeast"/>
        <w:rPr>
          <w:rFonts w:ascii="Arial" w:eastAsiaTheme="minorEastAsia" w:hAnsiTheme="minorHAnsi" w:cstheme="minorBidi"/>
          <w:color w:val="FF0000"/>
          <w:sz w:val="2"/>
          <w:szCs w:val="22"/>
          <w:lang w:val="en-US" w:eastAsia="en-US" w:bidi="ar-SA"/>
        </w:rPr>
      </w:pPr>
      <w:bookmarkStart w:id="162" w:name="br1_161"/>
      <w:bookmarkEnd w:id="16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80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、由于重大会计差错更正，影响期初未分配利润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0.00</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6807"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、由于同一控制导致的合并范围变更，影响期初未分配利润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6807"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、其他调整合计影响期初未分配利润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6807"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营业收入和营业成本</w:t>
      </w:r>
    </w:p>
    <w:p>
      <w:pPr>
        <w:framePr w:w="2988"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营业收入和营业成本情况</w:t>
      </w:r>
    </w:p>
    <w:p>
      <w:pPr>
        <w:framePr w:w="1817"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470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296" w:x="4527" w:y="4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662" w:x="2273" w:y="5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3894" w:y="52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收入</w:t>
      </w:r>
    </w:p>
    <w:p>
      <w:pPr>
        <w:framePr w:w="662" w:x="5790" w:y="52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w:t>
      </w:r>
    </w:p>
    <w:p>
      <w:pPr>
        <w:framePr w:w="662" w:x="7686" w:y="52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收入</w:t>
      </w:r>
    </w:p>
    <w:p>
      <w:pPr>
        <w:framePr w:w="662" w:x="9583" w:y="52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w:t>
      </w:r>
    </w:p>
    <w:p>
      <w:pPr>
        <w:framePr w:w="1085" w:x="1920" w:y="5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w:t>
      </w:r>
    </w:p>
    <w:p>
      <w:pPr>
        <w:framePr w:w="1085" w:x="1920" w:y="555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其他业务</w:t>
      </w:r>
    </w:p>
    <w:p>
      <w:pPr>
        <w:framePr w:w="1085" w:x="1920" w:y="5556"/>
        <w:widowControl w:val="0"/>
        <w:autoSpaceDE w:val="0"/>
        <w:autoSpaceDN w:val="0"/>
        <w:spacing w:before="72" w:line="211" w:lineRule="exact"/>
        <w:ind w:left="3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7612" w:x="3264" w:y="55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1,880,310,553.74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1,357,901,589.48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1,560,335,556.50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1,007,900,117.42</w:t>
      </w:r>
    </w:p>
    <w:p>
      <w:pPr>
        <w:framePr w:w="7612" w:x="3264" w:y="5556"/>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15,285,112.51</w:t>
      </w:r>
      <w:r>
        <w:rPr>
          <w:rFonts w:ascii="SimSun" w:eastAsiaTheme="minorEastAsia" w:hAnsiTheme="minorHAnsi" w:cstheme="minorBidi"/>
          <w:color w:val="000000"/>
          <w:spacing w:val="4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10,387,794.48</w:t>
      </w:r>
      <w:r>
        <w:rPr>
          <w:rFonts w:ascii="SimSun" w:eastAsiaTheme="minorEastAsia" w:hAnsiTheme="minorHAnsi" w:cstheme="minorBidi"/>
          <w:color w:val="000000"/>
          <w:spacing w:val="4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14,234,497.64</w:t>
      </w:r>
      <w:r>
        <w:rPr>
          <w:rFonts w:ascii="SimSun" w:eastAsiaTheme="minorEastAsia" w:hAnsiTheme="minorHAnsi" w:cstheme="minorBidi"/>
          <w:color w:val="000000"/>
          <w:spacing w:val="4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11,842,420.21</w:t>
      </w:r>
    </w:p>
    <w:p>
      <w:pPr>
        <w:framePr w:w="7612" w:x="3264" w:y="555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1,895,595,666.25</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1,368,289,383.96</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1,574,570,054.14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1,019,742,537.63</w:t>
      </w:r>
    </w:p>
    <w:p>
      <w:pPr>
        <w:framePr w:w="3197" w:x="1798" w:y="6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合同产生的收入的情况</w:t>
      </w:r>
    </w:p>
    <w:p>
      <w:pPr>
        <w:framePr w:w="3197" w:x="1798" w:y="65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65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合同产生的收入说明：</w:t>
      </w:r>
    </w:p>
    <w:p>
      <w:pPr>
        <w:framePr w:w="3197" w:x="1798" w:y="65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65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履约义务的说明</w:t>
      </w:r>
    </w:p>
    <w:p>
      <w:pPr>
        <w:framePr w:w="3197" w:x="1798" w:y="6523"/>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65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分摊至剩余履约义务的说明</w:t>
      </w:r>
    </w:p>
    <w:p>
      <w:pPr>
        <w:framePr w:w="3197" w:x="1798" w:y="65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65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112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817" w:x="1798" w:y="118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税金及附加</w:t>
      </w:r>
    </w:p>
    <w:p>
      <w:pPr>
        <w:framePr w:w="1817" w:x="1798" w:y="118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26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2608"/>
        <w:widowControl w:val="0"/>
        <w:autoSpaceDE w:val="0"/>
        <w:autoSpaceDN w:val="0"/>
        <w:spacing w:before="77" w:line="211" w:lineRule="exact"/>
        <w:ind w:left="36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793" w:x="1798" w:y="12897"/>
        <w:widowControl w:val="0"/>
        <w:autoSpaceDE w:val="0"/>
        <w:autoSpaceDN w:val="0"/>
        <w:spacing w:line="211" w:lineRule="exact"/>
        <w:ind w:left="113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793" w:x="1798" w:y="1289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消费税</w:t>
      </w:r>
    </w:p>
    <w:p>
      <w:pPr>
        <w:framePr w:w="1296" w:x="5605" w:y="128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874" w:x="1798" w:y="134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营业税</w:t>
      </w:r>
    </w:p>
    <w:p>
      <w:pPr>
        <w:framePr w:w="1718" w:x="1798" w:y="137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城市维护建设税</w:t>
      </w:r>
    </w:p>
    <w:p>
      <w:pPr>
        <w:framePr w:w="1718" w:x="1798" w:y="1375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教育费附加</w:t>
      </w:r>
    </w:p>
    <w:p>
      <w:pPr>
        <w:framePr w:w="1718" w:x="1798" w:y="1375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资源税</w:t>
      </w:r>
    </w:p>
    <w:p>
      <w:pPr>
        <w:framePr w:w="874" w:x="6925" w:y="137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564.41</w:t>
      </w:r>
    </w:p>
    <w:p>
      <w:pPr>
        <w:framePr w:w="874" w:x="6925" w:y="1375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352.81</w:t>
      </w:r>
    </w:p>
    <w:p>
      <w:pPr>
        <w:framePr w:w="1190" w:x="9686" w:y="137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43,120.75</w:t>
      </w:r>
    </w:p>
    <w:p>
      <w:pPr>
        <w:framePr w:w="1190" w:x="9686" w:y="1375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26,417.07</w:t>
      </w:r>
    </w:p>
    <w:p>
      <w:pPr>
        <w:framePr w:w="874" w:x="1798" w:y="146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房产税</w:t>
      </w:r>
    </w:p>
    <w:p>
      <w:pPr>
        <w:framePr w:w="1507" w:x="6296" w:y="14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1,661,610.27</w:t>
      </w:r>
    </w:p>
    <w:p>
      <w:pPr>
        <w:framePr w:w="1507" w:x="6296" w:y="14620"/>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3,741,551.75</w:t>
      </w:r>
    </w:p>
    <w:p>
      <w:pPr>
        <w:framePr w:w="1507" w:x="9372" w:y="14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1,180,978.21</w:t>
      </w:r>
    </w:p>
    <w:p>
      <w:pPr>
        <w:framePr w:w="1507" w:x="9372" w:y="14620"/>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3,729,302.56</w:t>
      </w:r>
    </w:p>
    <w:p>
      <w:pPr>
        <w:framePr w:w="1296" w:x="1798" w:y="14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土地使用税</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93" type="#_x0000_t75" style="width:445.6pt;height:2.7pt;margin-top:53.65pt;margin-left:87.45pt;mso-position-horizontal-relative:page;mso-position-vertical-relative:page;position:absolute;z-index:-251254784">
            <v:imagedata r:id="rId308" o:title=""/>
          </v:shape>
        </w:pict>
      </w:r>
      <w:r>
        <w:rPr>
          <w:noProof/>
        </w:rPr>
        <w:pict>
          <v:shape id="_x0000_s1394" type="#_x0000_t75" style="width:448.95pt;height:73.2pt;margin-top:246.5pt;margin-left:89.4pt;mso-position-horizontal-relative:page;mso-position-vertical-relative:page;position:absolute;z-index:-251351040">
            <v:imagedata r:id="rId309" o:title=""/>
          </v:shape>
        </w:pict>
      </w:r>
      <w:r>
        <w:rPr>
          <w:noProof/>
        </w:rPr>
        <w:pict>
          <v:shape id="_x0000_s1395" type="#_x0000_t75" style="width:455.8pt;height:117.7pt;margin-top:641.6pt;margin-left:82.9pt;mso-position-horizontal-relative:page;mso-position-vertical-relative:page;position:absolute;z-index:-251492352">
            <v:imagedata r:id="rId310" o:title=""/>
          </v:shape>
        </w:pict>
      </w:r>
    </w:p>
    <w:p>
      <w:pPr>
        <w:spacing w:line="0" w:lineRule="atLeast"/>
        <w:rPr>
          <w:rFonts w:ascii="Arial" w:eastAsiaTheme="minorEastAsia" w:hAnsiTheme="minorHAnsi" w:cstheme="minorBidi"/>
          <w:color w:val="FF0000"/>
          <w:sz w:val="2"/>
          <w:szCs w:val="22"/>
          <w:lang w:val="en-US" w:eastAsia="en-US" w:bidi="ar-SA"/>
        </w:rPr>
      </w:pPr>
      <w:bookmarkStart w:id="163" w:name="br1_162"/>
      <w:bookmarkEnd w:id="16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296" w:x="1798" w:y="15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车船使用税</w:t>
      </w:r>
    </w:p>
    <w:p>
      <w:pPr>
        <w:framePr w:w="1296" w:x="1798" w:y="1552"/>
        <w:widowControl w:val="0"/>
        <w:autoSpaceDE w:val="0"/>
        <w:autoSpaceDN w:val="0"/>
        <w:spacing w:before="7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印花税</w:t>
      </w:r>
    </w:p>
    <w:p>
      <w:pPr>
        <w:framePr w:w="1296" w:x="6505"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633,857.62</w:t>
      </w:r>
    </w:p>
    <w:p>
      <w:pPr>
        <w:framePr w:w="1296" w:x="9580"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622,794.49</w:t>
      </w:r>
    </w:p>
    <w:p>
      <w:pPr>
        <w:framePr w:w="1296" w:x="9580" w:y="1838"/>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12,416.03</w:t>
      </w:r>
    </w:p>
    <w:p>
      <w:pPr>
        <w:framePr w:w="662" w:x="1798" w:y="21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190" w:x="6611" w:y="21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84,153.02</w:t>
      </w:r>
    </w:p>
    <w:p>
      <w:pPr>
        <w:framePr w:w="662" w:x="2928" w:y="2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6296" w:y="24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6,122,089.88</w:t>
      </w:r>
    </w:p>
    <w:p>
      <w:pPr>
        <w:framePr w:w="1507" w:x="9372" w:y="24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5,615,029.11</w:t>
      </w:r>
    </w:p>
    <w:p>
      <w:pPr>
        <w:framePr w:w="1296" w:x="1798" w:y="28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28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3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销售费用</w:t>
      </w:r>
    </w:p>
    <w:p>
      <w:pPr>
        <w:framePr w:w="1817" w:x="1798" w:y="42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44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4483"/>
        <w:widowControl w:val="0"/>
        <w:autoSpaceDE w:val="0"/>
        <w:autoSpaceDN w:val="0"/>
        <w:spacing w:before="72" w:line="211" w:lineRule="exact"/>
        <w:ind w:left="46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144" w:y="47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5924" w:y="47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085" w:x="1798" w:y="50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职工薪酬</w:t>
      </w:r>
    </w:p>
    <w:p>
      <w:pPr>
        <w:framePr w:w="1613" w:x="6407" w:y="50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13,228,112.72</w:t>
      </w:r>
    </w:p>
    <w:p>
      <w:pPr>
        <w:framePr w:w="1613" w:x="9266" w:y="504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8,542,051.47</w:t>
      </w:r>
    </w:p>
    <w:p>
      <w:pPr>
        <w:framePr w:w="1613" w:x="9266" w:y="5047"/>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16,130,294.69</w:t>
      </w:r>
    </w:p>
    <w:p>
      <w:pPr>
        <w:framePr w:w="1613" w:x="9266" w:y="50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9,821,158.16</w:t>
      </w:r>
    </w:p>
    <w:p>
      <w:pPr>
        <w:framePr w:w="1613" w:x="9266" w:y="50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4,578,018.87</w:t>
      </w:r>
    </w:p>
    <w:p>
      <w:pPr>
        <w:framePr w:w="1613" w:x="9266" w:y="50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5,391,327.32</w:t>
      </w:r>
    </w:p>
    <w:p>
      <w:pPr>
        <w:framePr w:w="1613" w:x="9266" w:y="50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4,761,735.76</w:t>
      </w:r>
    </w:p>
    <w:p>
      <w:pPr>
        <w:framePr w:w="1613" w:x="9266" w:y="50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49,224,586.27</w:t>
      </w:r>
    </w:p>
    <w:p>
      <w:pPr>
        <w:framePr w:w="874" w:x="1798" w:y="53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运输费</w:t>
      </w:r>
    </w:p>
    <w:p>
      <w:pPr>
        <w:framePr w:w="2774" w:x="1798" w:y="56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办公、差旅、业务及招待费</w:t>
      </w:r>
    </w:p>
    <w:p>
      <w:pPr>
        <w:framePr w:w="2774" w:x="1798" w:y="561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产品检验、认证及登记费</w:t>
      </w:r>
    </w:p>
    <w:p>
      <w:pPr>
        <w:framePr w:w="2774" w:x="1798" w:y="561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广告及宣传推广费</w:t>
      </w:r>
    </w:p>
    <w:p>
      <w:pPr>
        <w:framePr w:w="2774" w:x="1798" w:y="561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613" w:x="6407" w:y="561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6,766,414.62</w:t>
      </w:r>
    </w:p>
    <w:p>
      <w:pPr>
        <w:framePr w:w="1613" w:x="6407" w:y="561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7,901,174.82</w:t>
      </w:r>
    </w:p>
    <w:p>
      <w:pPr>
        <w:framePr w:w="1613" w:x="6407" w:y="561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2,889,800.72</w:t>
      </w:r>
    </w:p>
    <w:p>
      <w:pPr>
        <w:framePr w:w="1613" w:x="6407" w:y="561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4,239,573.53</w:t>
      </w:r>
    </w:p>
    <w:p>
      <w:pPr>
        <w:framePr w:w="1613" w:x="6407" w:y="561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35,025,076.41</w:t>
      </w:r>
    </w:p>
    <w:p>
      <w:pPr>
        <w:framePr w:w="662" w:x="3144" w:y="6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71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714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82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管理费用</w:t>
      </w:r>
    </w:p>
    <w:p>
      <w:pPr>
        <w:framePr w:w="1817" w:x="1798" w:y="8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88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8806"/>
        <w:widowControl w:val="0"/>
        <w:autoSpaceDE w:val="0"/>
        <w:autoSpaceDN w:val="0"/>
        <w:spacing w:before="72" w:line="211" w:lineRule="exact"/>
        <w:ind w:left="67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347" w:x="1798" w:y="9089"/>
        <w:widowControl w:val="0"/>
        <w:autoSpaceDE w:val="0"/>
        <w:autoSpaceDN w:val="0"/>
        <w:spacing w:line="211" w:lineRule="exact"/>
        <w:ind w:left="16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347" w:x="1798" w:y="908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职工薪酬</w:t>
      </w:r>
    </w:p>
    <w:p>
      <w:pPr>
        <w:framePr w:w="1296" w:x="6472" w:y="90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613" w:x="6827" w:y="93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52,511,831.25</w:t>
      </w:r>
    </w:p>
    <w:p>
      <w:pPr>
        <w:framePr w:w="1613" w:x="9268" w:y="93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37,598,493.04</w:t>
      </w:r>
    </w:p>
    <w:p>
      <w:pPr>
        <w:framePr w:w="1613" w:x="9268" w:y="937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14,312,716.86</w:t>
      </w:r>
    </w:p>
    <w:p>
      <w:pPr>
        <w:framePr w:w="1613" w:x="9268" w:y="937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9,827,167.53</w:t>
      </w:r>
    </w:p>
    <w:p>
      <w:pPr>
        <w:framePr w:w="874" w:x="1798" w:y="9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安全费</w:t>
      </w:r>
    </w:p>
    <w:p>
      <w:pPr>
        <w:framePr w:w="1718" w:x="6721" w:y="965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15,088,157.73</w:t>
      </w:r>
    </w:p>
    <w:p>
      <w:pPr>
        <w:framePr w:w="1718" w:x="6721" w:y="965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14,166,905.97</w:t>
      </w:r>
    </w:p>
    <w:p>
      <w:pPr>
        <w:framePr w:w="1718" w:x="6721" w:y="965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10,612,998.71</w:t>
      </w:r>
    </w:p>
    <w:p>
      <w:pPr>
        <w:framePr w:w="1718" w:x="6721" w:y="965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15,615,914.09</w:t>
      </w:r>
    </w:p>
    <w:p>
      <w:pPr>
        <w:framePr w:w="1718" w:x="6721" w:y="965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39,934,320.20</w:t>
      </w:r>
    </w:p>
    <w:p>
      <w:pPr>
        <w:framePr w:w="1718" w:x="6721" w:y="9653"/>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3,644,300.00</w:t>
      </w:r>
    </w:p>
    <w:p>
      <w:pPr>
        <w:framePr w:w="1718" w:x="6721" w:y="965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14,409,572.94</w:t>
      </w:r>
    </w:p>
    <w:p>
      <w:pPr>
        <w:framePr w:w="1718" w:x="6721" w:y="965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165,984,000.89</w:t>
      </w:r>
    </w:p>
    <w:p>
      <w:pPr>
        <w:framePr w:w="874" w:x="1798" w:y="9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修理费</w:t>
      </w:r>
    </w:p>
    <w:p>
      <w:pPr>
        <w:framePr w:w="2774" w:x="1798" w:y="10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办公、差旅、业务及招待费</w:t>
      </w:r>
    </w:p>
    <w:p>
      <w:pPr>
        <w:framePr w:w="2774" w:x="1798" w:y="1021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折旧与摊销</w:t>
      </w:r>
    </w:p>
    <w:p>
      <w:pPr>
        <w:framePr w:w="2774" w:x="1798" w:y="1021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危废处置费</w:t>
      </w:r>
    </w:p>
    <w:p>
      <w:pPr>
        <w:framePr w:w="2774" w:x="1798" w:y="1021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股份支付</w:t>
      </w:r>
    </w:p>
    <w:p>
      <w:pPr>
        <w:framePr w:w="1613" w:x="9268" w:y="10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10,182,235.43</w:t>
      </w:r>
    </w:p>
    <w:p>
      <w:pPr>
        <w:framePr w:w="1613" w:x="9268" w:y="1021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6,943,816.23</w:t>
      </w:r>
    </w:p>
    <w:p>
      <w:pPr>
        <w:framePr w:w="1613" w:x="9268" w:y="107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75,635,344.07</w:t>
      </w:r>
    </w:p>
    <w:p>
      <w:pPr>
        <w:framePr w:w="662" w:x="1798" w:y="113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718" w:x="9163" w:y="1134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12,395,857.39</w:t>
      </w:r>
    </w:p>
    <w:p>
      <w:pPr>
        <w:framePr w:w="1718" w:x="9163" w:y="1134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166,895,630.55</w:t>
      </w:r>
    </w:p>
    <w:p>
      <w:pPr>
        <w:framePr w:w="662" w:x="3483" w:y="116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12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203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130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研发费用</w:t>
      </w:r>
    </w:p>
    <w:p>
      <w:pPr>
        <w:framePr w:w="1817" w:x="1798" w:y="134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6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696"/>
        <w:widowControl w:val="0"/>
        <w:autoSpaceDE w:val="0"/>
        <w:autoSpaceDN w:val="0"/>
        <w:spacing w:before="70" w:line="211" w:lineRule="exact"/>
        <w:ind w:left="67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347" w:x="1798" w:y="13977"/>
        <w:widowControl w:val="0"/>
        <w:autoSpaceDE w:val="0"/>
        <w:autoSpaceDN w:val="0"/>
        <w:spacing w:line="211" w:lineRule="exact"/>
        <w:ind w:left="16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347" w:x="1798" w:y="139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直接投入</w:t>
      </w:r>
    </w:p>
    <w:p>
      <w:pPr>
        <w:framePr w:w="1296" w:x="6472" w:y="139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613" w:x="6827" w:y="142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70,417,302.05</w:t>
      </w:r>
    </w:p>
    <w:p>
      <w:pPr>
        <w:framePr w:w="1613" w:x="6827" w:y="1426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23,836,051.05</w:t>
      </w:r>
    </w:p>
    <w:p>
      <w:pPr>
        <w:framePr w:w="1613" w:x="6827" w:y="14260"/>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1,682,434.63</w:t>
      </w:r>
    </w:p>
    <w:p>
      <w:pPr>
        <w:framePr w:w="1613" w:x="6827" w:y="14260"/>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28,212.88</w:t>
      </w:r>
    </w:p>
    <w:p>
      <w:pPr>
        <w:framePr w:w="1613" w:x="9268" w:y="142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60,423,755.01</w:t>
      </w:r>
    </w:p>
    <w:p>
      <w:pPr>
        <w:framePr w:w="1613" w:x="9268" w:y="1426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20,344,745.27</w:t>
      </w:r>
    </w:p>
    <w:p>
      <w:pPr>
        <w:framePr w:w="1613" w:x="9268" w:y="14260"/>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1,388,378.45</w:t>
      </w:r>
    </w:p>
    <w:p>
      <w:pPr>
        <w:framePr w:w="1085" w:x="1798" w:y="145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直接人工</w:t>
      </w:r>
    </w:p>
    <w:p>
      <w:pPr>
        <w:framePr w:w="2563" w:x="1798" w:y="148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折旧费用与长期待摊费用</w:t>
      </w:r>
    </w:p>
    <w:p>
      <w:pPr>
        <w:framePr w:w="2563" w:x="1798" w:y="1482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其他费用</w:t>
      </w:r>
    </w:p>
    <w:p>
      <w:pPr>
        <w:framePr w:w="1296" w:x="9583" w:y="151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252,105.33</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96" type="#_x0000_t75" style="width:445.6pt;height:2.7pt;margin-top:53.65pt;margin-left:87.45pt;mso-position-horizontal-relative:page;mso-position-vertical-relative:page;position:absolute;z-index:-251184128">
            <v:imagedata r:id="rId311" o:title=""/>
          </v:shape>
        </w:pict>
      </w:r>
      <w:r>
        <w:rPr>
          <w:noProof/>
        </w:rPr>
        <w:pict>
          <v:shape id="_x0000_s1397" type="#_x0000_t75" style="width:455.8pt;height:60.35pt;margin-top:74.3pt;margin-left:82.9pt;mso-position-horizontal-relative:page;mso-position-vertical-relative:page;position:absolute;z-index:-251201536">
            <v:imagedata r:id="rId312" o:title=""/>
          </v:shape>
        </w:pict>
      </w:r>
      <w:r>
        <w:rPr>
          <w:noProof/>
        </w:rPr>
        <w:pict>
          <v:shape id="_x0000_s1398" type="#_x0000_t75" style="width:454.95pt;height:115.55pt;margin-top:235.2pt;margin-left:83.25pt;mso-position-horizontal-relative:page;mso-position-vertical-relative:page;position:absolute;z-index:-251253760">
            <v:imagedata r:id="rId313" o:title=""/>
          </v:shape>
        </w:pict>
      </w:r>
      <w:r>
        <w:rPr>
          <w:noProof/>
        </w:rPr>
        <w:pict>
          <v:shape id="_x0000_s1399" type="#_x0000_t75" style="width:454.95pt;height:143.6pt;margin-top:451.5pt;margin-left:83.25pt;mso-position-horizontal-relative:page;mso-position-vertical-relative:page;position:absolute;z-index:-251350016">
            <v:imagedata r:id="rId314" o:title=""/>
          </v:shape>
        </w:pict>
      </w:r>
      <w:r>
        <w:rPr>
          <w:noProof/>
        </w:rPr>
        <w:pict>
          <v:shape id="_x0000_s1400" type="#_x0000_t75" style="width:454.95pt;height:73.05pt;margin-top:695.85pt;margin-left:83.25pt;mso-position-horizontal-relative:page;mso-position-vertical-relative:page;position:absolute;z-index:-251491328">
            <v:imagedata r:id="rId315" o:title=""/>
          </v:shape>
        </w:pict>
      </w:r>
    </w:p>
    <w:p>
      <w:pPr>
        <w:spacing w:line="0" w:lineRule="atLeast"/>
        <w:rPr>
          <w:rFonts w:ascii="Arial" w:eastAsiaTheme="minorEastAsia" w:hAnsiTheme="minorHAnsi" w:cstheme="minorBidi"/>
          <w:color w:val="FF0000"/>
          <w:sz w:val="2"/>
          <w:szCs w:val="22"/>
          <w:lang w:val="en-US" w:eastAsia="en-US" w:bidi="ar-SA"/>
        </w:rPr>
      </w:pPr>
      <w:bookmarkStart w:id="164" w:name="br1_163"/>
      <w:bookmarkEnd w:id="16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3483"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827"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95,964,000.61</w:t>
      </w:r>
    </w:p>
    <w:p>
      <w:pPr>
        <w:framePr w:w="1613" w:x="926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82,408,984.06</w:t>
      </w:r>
    </w:p>
    <w:p>
      <w:pPr>
        <w:framePr w:w="1296" w:x="1798" w:y="1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94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30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财务费用</w:t>
      </w:r>
    </w:p>
    <w:p>
      <w:pPr>
        <w:framePr w:w="1817" w:x="1798" w:y="33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6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3612"/>
        <w:widowControl w:val="0"/>
        <w:autoSpaceDE w:val="0"/>
        <w:autoSpaceDN w:val="0"/>
        <w:spacing w:before="70" w:line="211" w:lineRule="exact"/>
        <w:ind w:left="67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483" w:y="38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3483" w:y="3893"/>
        <w:widowControl w:val="0"/>
        <w:autoSpaceDE w:val="0"/>
        <w:autoSpaceDN w:val="0"/>
        <w:spacing w:before="120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6472" w:y="38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296" w:x="1798" w:y="41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利息支出</w:t>
      </w:r>
    </w:p>
    <w:p>
      <w:pPr>
        <w:framePr w:w="1296" w:x="1798" w:y="41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1296" w:x="1798" w:y="417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汇兑损益</w:t>
      </w:r>
    </w:p>
    <w:p>
      <w:pPr>
        <w:framePr w:w="1296" w:x="1798" w:y="41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银行手续费</w:t>
      </w:r>
    </w:p>
    <w:p>
      <w:pPr>
        <w:framePr w:w="1613" w:x="6827" w:y="4176"/>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707,507.44</w:t>
      </w:r>
    </w:p>
    <w:p>
      <w:pPr>
        <w:framePr w:w="1613" w:x="6827" w:y="417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-3,112,976.24</w:t>
      </w:r>
    </w:p>
    <w:p>
      <w:pPr>
        <w:framePr w:w="1613" w:x="6827" w:y="417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22,652,265.46</w:t>
      </w:r>
    </w:p>
    <w:p>
      <w:pPr>
        <w:framePr w:w="1613" w:x="6827" w:y="417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1,118,995.28</w:t>
      </w:r>
    </w:p>
    <w:p>
      <w:pPr>
        <w:framePr w:w="1613" w:x="6827" w:y="417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21,365,791.94</w:t>
      </w:r>
    </w:p>
    <w:p>
      <w:pPr>
        <w:framePr w:w="1507" w:x="9374" w:y="41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1,387,831.27</w:t>
      </w:r>
    </w:p>
    <w:p>
      <w:pPr>
        <w:framePr w:w="1613" w:x="9268" w:y="44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-1,304,721.63</w:t>
      </w:r>
    </w:p>
    <w:p>
      <w:pPr>
        <w:framePr w:w="1613" w:x="9268" w:y="445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-6,221,462.28</w:t>
      </w:r>
    </w:p>
    <w:p>
      <w:pPr>
        <w:framePr w:w="1613" w:x="9268" w:y="4459"/>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629,000.56</w:t>
      </w:r>
    </w:p>
    <w:p>
      <w:pPr>
        <w:framePr w:w="1613" w:x="9268" w:y="53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-5,509,352.08</w:t>
      </w:r>
    </w:p>
    <w:p>
      <w:pPr>
        <w:framePr w:w="1296" w:x="1798" w:y="57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570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817" w:x="1798" w:y="67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其他收益</w:t>
      </w:r>
    </w:p>
    <w:p>
      <w:pPr>
        <w:framePr w:w="1817" w:x="1798" w:y="67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8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822"/>
        <w:widowControl w:val="0"/>
        <w:autoSpaceDE w:val="0"/>
        <w:autoSpaceDN w:val="0"/>
        <w:spacing w:before="72" w:line="211" w:lineRule="exact"/>
        <w:ind w:left="38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554" w:x="8320" w:y="7822"/>
        <w:widowControl w:val="0"/>
        <w:autoSpaceDE w:val="0"/>
        <w:autoSpaceDN w:val="0"/>
        <w:spacing w:before="70" w:line="211" w:lineRule="exact"/>
        <w:ind w:left="126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440,000.04</w:t>
      </w:r>
    </w:p>
    <w:p>
      <w:pPr>
        <w:framePr w:w="2554" w:x="8320" w:y="7822"/>
        <w:widowControl w:val="0"/>
        <w:autoSpaceDE w:val="0"/>
        <w:autoSpaceDN w:val="0"/>
        <w:spacing w:before="72" w:line="211" w:lineRule="exact"/>
        <w:ind w:left="126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745,227.44</w:t>
      </w:r>
    </w:p>
    <w:p>
      <w:pPr>
        <w:framePr w:w="2554" w:x="8320" w:y="7822"/>
        <w:widowControl w:val="0"/>
        <w:autoSpaceDE w:val="0"/>
        <w:autoSpaceDN w:val="0"/>
        <w:spacing w:before="72" w:line="211" w:lineRule="exact"/>
        <w:ind w:left="136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38,013.48</w:t>
      </w:r>
    </w:p>
    <w:p>
      <w:pPr>
        <w:framePr w:w="662" w:x="3305" w:y="81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51" w:x="6006" w:y="81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851" w:x="6006" w:y="8105"/>
        <w:widowControl w:val="0"/>
        <w:autoSpaceDE w:val="0"/>
        <w:autoSpaceDN w:val="0"/>
        <w:spacing w:before="70" w:line="211" w:lineRule="exact"/>
        <w:ind w:left="55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183,333.15</w:t>
      </w:r>
    </w:p>
    <w:p>
      <w:pPr>
        <w:framePr w:w="2774" w:x="1798" w:y="8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大气治理环保项目专项资金</w:t>
      </w:r>
    </w:p>
    <w:p>
      <w:pPr>
        <w:framePr w:w="2774" w:x="1798" w:y="838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喹草酮项目</w:t>
      </w:r>
    </w:p>
    <w:p>
      <w:pPr>
        <w:framePr w:w="1507" w:x="6354" w:y="8669"/>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910,272.56</w:t>
      </w:r>
    </w:p>
    <w:p>
      <w:pPr>
        <w:framePr w:w="1507" w:x="6354" w:y="86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1,640,576.46</w:t>
      </w:r>
    </w:p>
    <w:p>
      <w:pPr>
        <w:framePr w:w="1507" w:x="6354" w:y="8669"/>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474,496.60</w:t>
      </w:r>
    </w:p>
    <w:p>
      <w:pPr>
        <w:framePr w:w="1507" w:x="6354" w:y="8669"/>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112,079.20</w:t>
      </w:r>
    </w:p>
    <w:p>
      <w:pPr>
        <w:framePr w:w="1507" w:x="6354" w:y="8669"/>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192,800.00</w:t>
      </w:r>
    </w:p>
    <w:p>
      <w:pPr>
        <w:framePr w:w="1507" w:x="6354" w:y="86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1,192,500.00</w:t>
      </w:r>
    </w:p>
    <w:p>
      <w:pPr>
        <w:framePr w:w="1296" w:x="1798" w:y="89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土地返还款</w:t>
      </w:r>
    </w:p>
    <w:p>
      <w:pPr>
        <w:framePr w:w="1930" w:x="1798" w:y="92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稳定就业岗位补贴</w:t>
      </w:r>
    </w:p>
    <w:p>
      <w:pPr>
        <w:framePr w:w="1930" w:x="1798" w:y="923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出口信用保险补助</w:t>
      </w:r>
    </w:p>
    <w:p>
      <w:pPr>
        <w:framePr w:w="1930" w:x="1798" w:y="923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专利奖励资金</w:t>
      </w:r>
    </w:p>
    <w:p>
      <w:pPr>
        <w:framePr w:w="1296" w:x="9580" w:y="923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213,581.64</w:t>
      </w:r>
    </w:p>
    <w:p>
      <w:pPr>
        <w:framePr w:w="1296" w:x="9580" w:y="923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273,952.00</w:t>
      </w:r>
    </w:p>
    <w:p>
      <w:pPr>
        <w:framePr w:w="1296" w:x="9580" w:y="923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22,000.00</w:t>
      </w:r>
    </w:p>
    <w:p>
      <w:pPr>
        <w:framePr w:w="2352" w:x="1798" w:y="100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企业研究开发财政补助</w:t>
      </w:r>
    </w:p>
    <w:p>
      <w:pPr>
        <w:framePr w:w="2352" w:x="1798" w:y="1008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烯酰吗啉项目</w:t>
      </w:r>
    </w:p>
    <w:p>
      <w:pPr>
        <w:framePr w:w="1507" w:x="9372" w:y="10081"/>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747,500.00</w:t>
      </w:r>
    </w:p>
    <w:p>
      <w:pPr>
        <w:framePr w:w="1507" w:x="9372" w:y="1008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2,464,600.00</w:t>
      </w:r>
    </w:p>
    <w:p>
      <w:pPr>
        <w:framePr w:w="1507" w:x="9372" w:y="10081"/>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w:t>
      </w:r>
    </w:p>
    <w:p>
      <w:pPr>
        <w:framePr w:w="3656" w:x="1798" w:y="106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年潍坊市知识产权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专利</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专项资</w:t>
      </w:r>
    </w:p>
    <w:p>
      <w:pPr>
        <w:framePr w:w="3656" w:x="1798" w:y="1064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w:t>
      </w:r>
    </w:p>
    <w:p>
      <w:pPr>
        <w:framePr w:w="2604" w:x="1798" w:y="112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年科学技术发展经费</w:t>
      </w:r>
    </w:p>
    <w:p>
      <w:pPr>
        <w:framePr w:w="2604" w:x="1798" w:y="1120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农业局捐赠监管设备</w:t>
      </w:r>
    </w:p>
    <w:p>
      <w:pPr>
        <w:framePr w:w="2604" w:x="1798" w:y="1120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代扣代缴个税手续费返还</w:t>
      </w:r>
    </w:p>
    <w:p>
      <w:pPr>
        <w:framePr w:w="2604" w:x="1798" w:y="1120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工会回拨经费</w:t>
      </w:r>
    </w:p>
    <w:p>
      <w:pPr>
        <w:framePr w:w="1296" w:x="9580" w:y="112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220,000.00</w:t>
      </w:r>
    </w:p>
    <w:p>
      <w:pPr>
        <w:framePr w:w="1296" w:x="9580" w:y="11202"/>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557.91</w:t>
      </w:r>
    </w:p>
    <w:p>
      <w:pPr>
        <w:framePr w:w="1085" w:x="6774" w:y="114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2,231.64</w:t>
      </w:r>
    </w:p>
    <w:p>
      <w:pPr>
        <w:framePr w:w="1085" w:x="6774" w:y="1148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2,944.29</w:t>
      </w:r>
    </w:p>
    <w:p>
      <w:pPr>
        <w:framePr w:w="1085" w:x="9792" w:y="117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6,626.26</w:t>
      </w:r>
    </w:p>
    <w:p>
      <w:pPr>
        <w:framePr w:w="1085" w:x="6774" w:y="120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5,424.40</w:t>
      </w:r>
    </w:p>
    <w:p>
      <w:pPr>
        <w:framePr w:w="1085" w:x="1798" w:y="123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疫情补助</w:t>
      </w:r>
    </w:p>
    <w:p>
      <w:pPr>
        <w:framePr w:w="1507" w:x="6354" w:y="12330"/>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450,500.00</w:t>
      </w:r>
    </w:p>
    <w:p>
      <w:pPr>
        <w:framePr w:w="1507" w:x="6354" w:y="1233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449,726.00</w:t>
      </w:r>
    </w:p>
    <w:p>
      <w:pPr>
        <w:framePr w:w="1507" w:x="6354" w:y="12330"/>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16,016.00</w:t>
      </w:r>
    </w:p>
    <w:p>
      <w:pPr>
        <w:framePr w:w="1507" w:x="6354" w:y="1233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500,000.00</w:t>
      </w:r>
    </w:p>
    <w:p>
      <w:pPr>
        <w:framePr w:w="1507" w:x="6354" w:y="1233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109,000.00</w:t>
      </w:r>
    </w:p>
    <w:p>
      <w:pPr>
        <w:framePr w:w="1507" w:x="6354" w:y="12330"/>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w:t>
      </w:r>
    </w:p>
    <w:p>
      <w:pPr>
        <w:framePr w:w="1507" w:x="6354" w:y="1233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6,297,900.30</w:t>
      </w:r>
    </w:p>
    <w:p>
      <w:pPr>
        <w:framePr w:w="2774" w:x="1798" w:y="126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外经贸和商贸流通专项资金</w:t>
      </w:r>
    </w:p>
    <w:p>
      <w:pPr>
        <w:framePr w:w="2774" w:x="1798" w:y="1261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安全责任险补贴</w:t>
      </w:r>
    </w:p>
    <w:p>
      <w:pPr>
        <w:framePr w:w="3236" w:x="1798" w:y="131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年潍坊市“隐形冠军”奖励</w:t>
      </w:r>
    </w:p>
    <w:p>
      <w:pPr>
        <w:framePr w:w="3236" w:x="1798" w:y="131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年度创新创业政策资金</w:t>
      </w:r>
    </w:p>
    <w:p>
      <w:pPr>
        <w:framePr w:w="3236" w:x="1798" w:y="1317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年市场监管市级专项资金</w:t>
      </w:r>
    </w:p>
    <w:p>
      <w:pPr>
        <w:framePr w:w="3236" w:x="1798" w:y="13177"/>
        <w:widowControl w:val="0"/>
        <w:autoSpaceDE w:val="0"/>
        <w:autoSpaceDN w:val="0"/>
        <w:spacing w:before="72" w:line="211" w:lineRule="exact"/>
        <w:ind w:left="15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9372" w:y="140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5,174,058.77</w:t>
      </w:r>
    </w:p>
    <w:p>
      <w:pPr>
        <w:framePr w:w="1296" w:x="1798" w:y="144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442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01" type="#_x0000_t75" style="width:445.6pt;height:2.7pt;margin-top:53.65pt;margin-left:87.45pt;mso-position-horizontal-relative:page;mso-position-vertical-relative:page;position:absolute;z-index:-251200512">
            <v:imagedata r:id="rId316" o:title=""/>
          </v:shape>
        </w:pict>
      </w:r>
      <w:r>
        <w:rPr>
          <w:noProof/>
        </w:rPr>
        <w:pict>
          <v:shape id="_x0000_s1402" type="#_x0000_t75" style="width:454.95pt;height:16.65pt;margin-top:74.3pt;margin-left:83.25pt;mso-position-horizontal-relative:page;mso-position-vertical-relative:page;position:absolute;z-index:-251252736">
            <v:imagedata r:id="rId317" o:title=""/>
          </v:shape>
        </w:pict>
      </w:r>
      <w:r>
        <w:rPr>
          <w:noProof/>
        </w:rPr>
        <w:pict>
          <v:shape id="_x0000_s1403" type="#_x0000_t75" style="width:454.95pt;height:87.25pt;margin-top:191.65pt;margin-left:83.25pt;mso-position-horizontal-relative:page;mso-position-vertical-relative:page;position:absolute;z-index:-251348992">
            <v:imagedata r:id="rId318" o:title=""/>
          </v:shape>
        </w:pict>
      </w:r>
      <w:r>
        <w:rPr>
          <w:noProof/>
        </w:rPr>
        <w:pict>
          <v:shape id="_x0000_s1404" type="#_x0000_t75" style="width:454.95pt;height:312.75pt;margin-top:402.15pt;margin-left:83.25pt;mso-position-horizontal-relative:page;mso-position-vertical-relative:page;position:absolute;z-index:-251490304">
            <v:imagedata r:id="rId319" o:title=""/>
          </v:shape>
        </w:pict>
      </w:r>
    </w:p>
    <w:p>
      <w:pPr>
        <w:spacing w:line="0" w:lineRule="atLeast"/>
        <w:rPr>
          <w:rFonts w:ascii="Arial" w:eastAsiaTheme="minorEastAsia" w:hAnsiTheme="minorHAnsi" w:cstheme="minorBidi"/>
          <w:color w:val="FF0000"/>
          <w:sz w:val="2"/>
          <w:szCs w:val="22"/>
          <w:lang w:val="en-US" w:eastAsia="en-US" w:bidi="ar-SA"/>
        </w:rPr>
      </w:pPr>
      <w:bookmarkStart w:id="165" w:name="br1_164"/>
      <w:bookmarkEnd w:id="16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8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投资收益</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594"/>
        <w:widowControl w:val="0"/>
        <w:autoSpaceDE w:val="0"/>
        <w:autoSpaceDN w:val="0"/>
        <w:spacing w:before="70" w:line="211" w:lineRule="exact"/>
        <w:ind w:left="54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305"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6162"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3619" w:x="1798" w:y="31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权益法核算的长期股权投资收益</w:t>
      </w:r>
    </w:p>
    <w:p>
      <w:pPr>
        <w:framePr w:w="3619" w:x="1798" w:y="315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处置长期股权投资产生的投资收益</w:t>
      </w:r>
    </w:p>
    <w:p>
      <w:pPr>
        <w:framePr w:w="3619" w:x="1798" w:y="315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交易性金融资产在持有期间的投资收</w:t>
      </w:r>
    </w:p>
    <w:p>
      <w:pPr>
        <w:framePr w:w="3619" w:x="1798" w:y="315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w:t>
      </w:r>
    </w:p>
    <w:p>
      <w:pPr>
        <w:framePr w:w="3619" w:x="1798" w:y="42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其他权益工具投资在持有期间取得的</w:t>
      </w:r>
    </w:p>
    <w:p>
      <w:pPr>
        <w:framePr w:w="3619" w:x="1798" w:y="427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股利收入</w:t>
      </w:r>
    </w:p>
    <w:p>
      <w:pPr>
        <w:framePr w:w="3619" w:x="1798" w:y="48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债权投资在持有期间取得的利息收入</w:t>
      </w:r>
    </w:p>
    <w:p>
      <w:pPr>
        <w:framePr w:w="3619" w:x="1798" w:y="483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其他债权投资在持有期间取得的利息</w:t>
      </w:r>
    </w:p>
    <w:p>
      <w:pPr>
        <w:framePr w:w="3619" w:x="1798" w:y="4833"/>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收入</w:t>
      </w:r>
    </w:p>
    <w:p>
      <w:pPr>
        <w:framePr w:w="3619" w:x="1798" w:y="56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处置交易性金融资产取得的投资收益</w:t>
      </w:r>
    </w:p>
    <w:p>
      <w:pPr>
        <w:framePr w:w="3619" w:x="1798" w:y="56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处置其他权益工具投资取得的投资收</w:t>
      </w:r>
    </w:p>
    <w:p>
      <w:pPr>
        <w:framePr w:w="3619" w:x="1798" w:y="566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w:t>
      </w:r>
    </w:p>
    <w:p>
      <w:pPr>
        <w:framePr w:w="3408" w:x="1798" w:y="65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处置债权投资取得的投资收益</w:t>
      </w:r>
    </w:p>
    <w:p>
      <w:pPr>
        <w:framePr w:w="3408" w:x="1798" w:y="65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处置其他债权投资取得的投资收益</w:t>
      </w:r>
    </w:p>
    <w:p>
      <w:pPr>
        <w:framePr w:w="3408" w:x="1798" w:y="65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理财产品取得的投资收益</w:t>
      </w:r>
    </w:p>
    <w:p>
      <w:pPr>
        <w:framePr w:w="3408" w:x="1798" w:y="65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远期结售汇和外汇期权的投资收益</w:t>
      </w:r>
    </w:p>
    <w:p>
      <w:pPr>
        <w:framePr w:w="3408" w:x="1798" w:y="65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处置其他债权投资取得的投资收益</w:t>
      </w:r>
    </w:p>
    <w:p>
      <w:pPr>
        <w:framePr w:w="3408" w:x="1798" w:y="6507"/>
        <w:widowControl w:val="0"/>
        <w:autoSpaceDE w:val="0"/>
        <w:autoSpaceDN w:val="0"/>
        <w:spacing w:before="70" w:line="211" w:lineRule="exact"/>
        <w:ind w:left="15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6666" w:y="70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8,098,122.24</w:t>
      </w:r>
    </w:p>
    <w:p>
      <w:pPr>
        <w:framePr w:w="1718" w:x="9163" w:y="7071"/>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7,050,079.49</w:t>
      </w:r>
    </w:p>
    <w:p>
      <w:pPr>
        <w:framePr w:w="1718" w:x="9163" w:y="707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-15,414,939.63</w:t>
      </w:r>
    </w:p>
    <w:p>
      <w:pPr>
        <w:framePr w:w="1718" w:x="9163" w:y="7071"/>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500,000.00</w:t>
      </w:r>
    </w:p>
    <w:p>
      <w:pPr>
        <w:framePr w:w="1296" w:x="6875" w:y="73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351,609.69</w:t>
      </w:r>
    </w:p>
    <w:p>
      <w:pPr>
        <w:framePr w:w="1507" w:x="6666" w:y="79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8,449,731.93</w:t>
      </w:r>
    </w:p>
    <w:p>
      <w:pPr>
        <w:framePr w:w="1613" w:x="9268" w:y="79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-7,864,860.14</w:t>
      </w:r>
    </w:p>
    <w:p>
      <w:pPr>
        <w:framePr w:w="1296" w:x="1798" w:y="83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8338"/>
        <w:widowControl w:val="0"/>
        <w:autoSpaceDE w:val="0"/>
        <w:autoSpaceDN w:val="0"/>
        <w:spacing w:before="19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222" w:x="1798" w:y="92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净敞口套期收益</w:t>
      </w:r>
    </w:p>
    <w:p>
      <w:pPr>
        <w:framePr w:w="2222" w:x="1798" w:y="926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34" w:x="1798" w:y="103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公允价值变动收益</w:t>
      </w:r>
    </w:p>
    <w:p>
      <w:pPr>
        <w:framePr w:w="2434" w:x="1798" w:y="1032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3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384"/>
        <w:widowControl w:val="0"/>
        <w:autoSpaceDE w:val="0"/>
        <w:autoSpaceDN w:val="0"/>
        <w:spacing w:before="72" w:line="211" w:lineRule="exact"/>
        <w:ind w:left="48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3200" w:x="1798" w:y="11667"/>
        <w:widowControl w:val="0"/>
        <w:autoSpaceDE w:val="0"/>
        <w:autoSpaceDN w:val="0"/>
        <w:spacing w:line="211" w:lineRule="exact"/>
        <w:ind w:left="22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产生公允价值变动收益的来源</w:t>
      </w:r>
    </w:p>
    <w:p>
      <w:pPr>
        <w:framePr w:w="3200" w:x="1798" w:y="1166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296" w:x="5975" w:y="116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613" w:x="6441" w:y="119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10,384,715.04</w:t>
      </w:r>
    </w:p>
    <w:p>
      <w:pPr>
        <w:framePr w:w="1296" w:x="9580" w:y="119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122,821.60</w:t>
      </w:r>
    </w:p>
    <w:p>
      <w:pPr>
        <w:framePr w:w="3408" w:x="1798" w:y="122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其中：衍生金融工具产生的公允价</w:t>
      </w:r>
    </w:p>
    <w:p>
      <w:pPr>
        <w:framePr w:w="3408" w:x="1798" w:y="12231"/>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值变动收益</w:t>
      </w:r>
    </w:p>
    <w:p>
      <w:pPr>
        <w:framePr w:w="1718" w:x="1798" w:y="127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296" w:x="6755" w:y="127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1613" w:x="9266" w:y="127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613" w:x="9266" w:y="12786"/>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-3,174,449.00</w:t>
      </w:r>
    </w:p>
    <w:p>
      <w:pPr>
        <w:framePr w:w="3197" w:x="1798" w:y="130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按公允价值计量的投资性房地产</w:t>
      </w:r>
    </w:p>
    <w:p>
      <w:pPr>
        <w:framePr w:w="3197" w:x="1798" w:y="13069"/>
        <w:widowControl w:val="0"/>
        <w:autoSpaceDE w:val="0"/>
        <w:autoSpaceDN w:val="0"/>
        <w:spacing w:before="70" w:line="211" w:lineRule="exact"/>
        <w:ind w:left="138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441" w:y="1335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10,318,919.54</w:t>
      </w:r>
    </w:p>
    <w:p>
      <w:pPr>
        <w:framePr w:w="1296" w:x="1798" w:y="137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375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05" type="#_x0000_t75" style="width:445.6pt;height:2.7pt;margin-top:53.65pt;margin-left:87.45pt;mso-position-horizontal-relative:page;mso-position-vertical-relative:page;position:absolute;z-index:-251251712">
            <v:imagedata r:id="rId320" o:title=""/>
          </v:shape>
        </w:pict>
      </w:r>
      <w:r>
        <w:rPr>
          <w:noProof/>
        </w:rPr>
        <w:pict>
          <v:shape id="_x0000_s1406" type="#_x0000_t75" style="width:454.95pt;height:268.8pt;margin-top:140.8pt;margin-left:83.25pt;mso-position-horizontal-relative:page;mso-position-vertical-relative:page;position:absolute;z-index:-251347968">
            <v:imagedata r:id="rId321" o:title=""/>
          </v:shape>
        </w:pict>
      </w:r>
      <w:r>
        <w:rPr>
          <w:noProof/>
        </w:rPr>
        <w:pict>
          <v:shape id="_x0000_s1407" type="#_x0000_t75" style="width:454.95pt;height:100.8pt;margin-top:580.4pt;margin-left:83.25pt;mso-position-horizontal-relative:page;mso-position-vertical-relative:page;position:absolute;z-index:-251489280">
            <v:imagedata r:id="rId322" o:title=""/>
          </v:shape>
        </w:pict>
      </w:r>
    </w:p>
    <w:p>
      <w:pPr>
        <w:spacing w:line="0" w:lineRule="atLeast"/>
        <w:rPr>
          <w:rFonts w:ascii="Arial" w:eastAsiaTheme="minorEastAsia" w:hAnsiTheme="minorHAnsi" w:cstheme="minorBidi"/>
          <w:color w:val="FF0000"/>
          <w:sz w:val="2"/>
          <w:szCs w:val="22"/>
          <w:lang w:val="en-US" w:eastAsia="en-US" w:bidi="ar-SA"/>
        </w:rPr>
      </w:pPr>
      <w:bookmarkStart w:id="166" w:name="br1_165"/>
      <w:bookmarkEnd w:id="16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011"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信用减值损失</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3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337"/>
        <w:widowControl w:val="0"/>
        <w:autoSpaceDE w:val="0"/>
        <w:autoSpaceDN w:val="0"/>
        <w:spacing w:before="72" w:line="211" w:lineRule="exact"/>
        <w:ind w:left="54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305" w:y="26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005" w:x="6159" w:y="26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2005" w:x="6159" w:y="2620"/>
        <w:widowControl w:val="0"/>
        <w:autoSpaceDE w:val="0"/>
        <w:autoSpaceDN w:val="0"/>
        <w:spacing w:before="362" w:line="211" w:lineRule="exact"/>
        <w:ind w:left="50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4,710,062.17</w:t>
      </w:r>
    </w:p>
    <w:p>
      <w:pPr>
        <w:framePr w:w="2352" w:x="1798" w:y="29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应收票据坏账损失</w:t>
      </w:r>
    </w:p>
    <w:p>
      <w:pPr>
        <w:framePr w:w="2352" w:x="1798" w:y="290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应收账款坏账损失</w:t>
      </w:r>
    </w:p>
    <w:p>
      <w:pPr>
        <w:framePr w:w="2352" w:x="1798" w:y="290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其他应收款坏账损失</w:t>
      </w:r>
    </w:p>
    <w:p>
      <w:pPr>
        <w:framePr w:w="2352" w:x="1798" w:y="290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债权投资减值损失</w:t>
      </w:r>
    </w:p>
    <w:p>
      <w:pPr>
        <w:framePr w:w="2352" w:x="1798" w:y="2906"/>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其他债权投资减值损失</w:t>
      </w:r>
    </w:p>
    <w:p>
      <w:pPr>
        <w:framePr w:w="2352" w:x="1798" w:y="290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长期应收款坏账损失</w:t>
      </w:r>
    </w:p>
    <w:p>
      <w:pPr>
        <w:framePr w:w="2352" w:x="1798" w:y="290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合同资产减值损失</w:t>
      </w:r>
    </w:p>
    <w:p>
      <w:pPr>
        <w:framePr w:w="2352" w:x="1798" w:y="2906"/>
        <w:widowControl w:val="0"/>
        <w:autoSpaceDE w:val="0"/>
        <w:autoSpaceDN w:val="0"/>
        <w:spacing w:before="77" w:line="211" w:lineRule="exact"/>
        <w:ind w:left="15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9374" w:y="319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1,640,545.48</w:t>
      </w:r>
    </w:p>
    <w:p>
      <w:pPr>
        <w:framePr w:w="1507" w:x="9374" w:y="3194"/>
        <w:widowControl w:val="0"/>
        <w:autoSpaceDE w:val="0"/>
        <w:autoSpaceDN w:val="0"/>
        <w:spacing w:before="77"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-86,684.85</w:t>
      </w:r>
    </w:p>
    <w:p>
      <w:pPr>
        <w:framePr w:w="1402" w:x="6767" w:y="34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-646,933.20</w:t>
      </w:r>
    </w:p>
    <w:p>
      <w:pPr>
        <w:framePr w:w="1507" w:x="6661" w:y="49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4,063,128.97</w:t>
      </w:r>
    </w:p>
    <w:p>
      <w:pPr>
        <w:framePr w:w="1507" w:x="9374" w:y="49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1,553,860.63</w:t>
      </w:r>
    </w:p>
    <w:p>
      <w:pPr>
        <w:framePr w:w="1296" w:x="1798" w:y="5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532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011" w:x="1798" w:y="63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资产减值损失</w:t>
      </w:r>
    </w:p>
    <w:p>
      <w:pPr>
        <w:framePr w:w="2011" w:x="1798" w:y="63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435"/>
        <w:widowControl w:val="0"/>
        <w:autoSpaceDE w:val="0"/>
        <w:autoSpaceDN w:val="0"/>
        <w:spacing w:before="72" w:line="211" w:lineRule="exact"/>
        <w:ind w:left="35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042" w:x="1798" w:y="7719"/>
        <w:widowControl w:val="0"/>
        <w:autoSpaceDE w:val="0"/>
        <w:autoSpaceDN w:val="0"/>
        <w:spacing w:line="211" w:lineRule="exact"/>
        <w:ind w:left="138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042" w:x="1798" w:y="771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一、坏账损失</w:t>
      </w:r>
    </w:p>
    <w:p>
      <w:pPr>
        <w:framePr w:w="1296" w:x="5850" w:y="77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3408" w:x="1798" w:y="82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二、存货跌价损失及合同履约成本</w:t>
      </w:r>
    </w:p>
    <w:p>
      <w:pPr>
        <w:framePr w:w="3408" w:x="1798" w:y="828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减值损失</w:t>
      </w:r>
    </w:p>
    <w:p>
      <w:pPr>
        <w:framePr w:w="1613" w:x="6188" w:y="8283"/>
        <w:widowControl w:val="0"/>
        <w:autoSpaceDE w:val="0"/>
        <w:autoSpaceDN w:val="0"/>
        <w:spacing w:line="211" w:lineRule="exact"/>
        <w:ind w:left="21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-815,606.91</w:t>
      </w:r>
    </w:p>
    <w:p>
      <w:pPr>
        <w:framePr w:w="1613" w:x="6188" w:y="8283"/>
        <w:widowControl w:val="0"/>
        <w:autoSpaceDE w:val="0"/>
        <w:autoSpaceDN w:val="0"/>
        <w:spacing w:before="14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-2,895,620.00</w:t>
      </w:r>
    </w:p>
    <w:p>
      <w:pPr>
        <w:framePr w:w="1613" w:x="6188" w:y="8283"/>
        <w:widowControl w:val="0"/>
        <w:autoSpaceDE w:val="0"/>
        <w:autoSpaceDN w:val="0"/>
        <w:spacing w:before="148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-3,711,226.91</w:t>
      </w:r>
    </w:p>
    <w:p>
      <w:pPr>
        <w:framePr w:w="1613" w:x="9266" w:y="82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-9,458,840.32</w:t>
      </w:r>
    </w:p>
    <w:p>
      <w:pPr>
        <w:framePr w:w="2986" w:x="1798" w:y="88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三、长期股权投资减值损失</w:t>
      </w:r>
    </w:p>
    <w:p>
      <w:pPr>
        <w:framePr w:w="2986" w:x="1798" w:y="88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四、投资性房地产减值损失</w:t>
      </w:r>
    </w:p>
    <w:p>
      <w:pPr>
        <w:framePr w:w="2986" w:x="1798" w:y="883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五、固定资产减值损失</w:t>
      </w:r>
    </w:p>
    <w:p>
      <w:pPr>
        <w:framePr w:w="2986" w:x="1798" w:y="88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六、工程物资减值损失</w:t>
      </w:r>
    </w:p>
    <w:p>
      <w:pPr>
        <w:framePr w:w="2986" w:x="1798" w:y="88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七、在建工程减值损失</w:t>
      </w:r>
    </w:p>
    <w:p>
      <w:pPr>
        <w:framePr w:w="2986" w:x="1798" w:y="883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八、生产性生物资产减值损失</w:t>
      </w:r>
    </w:p>
    <w:p>
      <w:pPr>
        <w:framePr w:w="2986" w:x="1798" w:y="88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九、油气资产减值损失</w:t>
      </w:r>
    </w:p>
    <w:p>
      <w:pPr>
        <w:framePr w:w="2986" w:x="1798" w:y="88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十、无形资产减值损失</w:t>
      </w:r>
    </w:p>
    <w:p>
      <w:pPr>
        <w:framePr w:w="2986" w:x="1798" w:y="883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十一、商誉减值损失</w:t>
      </w:r>
    </w:p>
    <w:p>
      <w:pPr>
        <w:framePr w:w="2986" w:x="1798" w:y="88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十二、其他</w:t>
      </w:r>
    </w:p>
    <w:p>
      <w:pPr>
        <w:framePr w:w="662" w:x="3178" w:y="116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9266" w:y="1166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-9,458,840.32</w:t>
      </w:r>
    </w:p>
    <w:p>
      <w:pPr>
        <w:framePr w:w="1296" w:x="1798" w:y="120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206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011" w:x="1798" w:y="1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资产处置收益</w:t>
      </w:r>
    </w:p>
    <w:p>
      <w:pPr>
        <w:framePr w:w="2011" w:x="1798" w:y="131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9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921"/>
        <w:widowControl w:val="0"/>
        <w:autoSpaceDE w:val="0"/>
        <w:autoSpaceDN w:val="0"/>
        <w:spacing w:before="72" w:line="211" w:lineRule="exact"/>
        <w:ind w:left="38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563" w:x="1798" w:y="14204"/>
        <w:widowControl w:val="0"/>
        <w:autoSpaceDE w:val="0"/>
        <w:autoSpaceDN w:val="0"/>
        <w:spacing w:line="211" w:lineRule="exact"/>
        <w:ind w:left="119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563" w:x="1798" w:y="142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固定资产处置利得或损失</w:t>
      </w:r>
    </w:p>
    <w:p>
      <w:pPr>
        <w:framePr w:w="2563" w:x="1798" w:y="14204"/>
        <w:widowControl w:val="0"/>
        <w:autoSpaceDE w:val="0"/>
        <w:autoSpaceDN w:val="0"/>
        <w:spacing w:before="70" w:line="211" w:lineRule="exact"/>
        <w:ind w:left="119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5687" w:y="142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190" w:x="6669" w:y="144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-9,382.26</w:t>
      </w:r>
    </w:p>
    <w:p>
      <w:pPr>
        <w:framePr w:w="1190" w:x="6669" w:y="1448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-9,382.26</w:t>
      </w:r>
    </w:p>
    <w:p>
      <w:pPr>
        <w:framePr w:w="1402" w:x="9477" w:y="144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-474,943.84</w:t>
      </w:r>
    </w:p>
    <w:p>
      <w:pPr>
        <w:framePr w:w="1402" w:x="9477" w:y="147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-474,943.84</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08" type="#_x0000_t75" style="width:445.6pt;height:2.7pt;margin-top:53.65pt;margin-left:87.45pt;mso-position-horizontal-relative:page;mso-position-vertical-relative:page;position:absolute;z-index:-251199488">
            <v:imagedata r:id="rId323" o:title=""/>
          </v:shape>
        </w:pict>
      </w:r>
      <w:r>
        <w:rPr>
          <w:noProof/>
        </w:rPr>
        <w:pict>
          <v:shape id="_x0000_s1409" type="#_x0000_t75" style="width:454.95pt;height:131.5pt;margin-top:128.05pt;margin-left:83.25pt;mso-position-horizontal-relative:page;mso-position-vertical-relative:page;position:absolute;z-index:-251250688">
            <v:imagedata r:id="rId324" o:title=""/>
          </v:shape>
        </w:pict>
      </w:r>
      <w:r>
        <w:rPr>
          <w:noProof/>
        </w:rPr>
        <w:pict>
          <v:shape id="_x0000_s1410" type="#_x0000_t75" style="width:454.95pt;height:213.7pt;margin-top:382.95pt;margin-left:83.25pt;mso-position-horizontal-relative:page;mso-position-vertical-relative:page;position:absolute;z-index:-251346944">
            <v:imagedata r:id="rId325" o:title=""/>
          </v:shape>
        </w:pict>
      </w:r>
      <w:r>
        <w:rPr>
          <w:noProof/>
        </w:rPr>
        <w:pict>
          <v:shape id="_x0000_s1411" type="#_x0000_t75" style="width:454.95pt;height:44.85pt;margin-top:707.25pt;margin-left:83.25pt;mso-position-horizontal-relative:page;mso-position-vertical-relative:page;position:absolute;z-index:-251488256">
            <v:imagedata r:id="rId326" o:title=""/>
          </v:shape>
        </w:pict>
      </w:r>
    </w:p>
    <w:p>
      <w:pPr>
        <w:spacing w:line="0" w:lineRule="atLeast"/>
        <w:rPr>
          <w:rFonts w:ascii="Arial" w:eastAsiaTheme="minorEastAsia" w:hAnsiTheme="minorHAnsi" w:cstheme="minorBidi"/>
          <w:color w:val="FF0000"/>
          <w:sz w:val="2"/>
          <w:szCs w:val="22"/>
          <w:lang w:val="en-US" w:eastAsia="en-US" w:bidi="ar-SA"/>
        </w:rPr>
      </w:pPr>
      <w:bookmarkStart w:id="167" w:name="br1_166"/>
      <w:bookmarkEnd w:id="16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296"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800"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营业外收入</w:t>
      </w:r>
    </w:p>
    <w:p>
      <w:pPr>
        <w:framePr w:w="1718" w:x="1798"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营业外收入情况</w:t>
      </w:r>
    </w:p>
    <w:p>
      <w:pPr>
        <w:framePr w:w="1922" w:x="1798" w:y="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6" w:x="8320" w:y="36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6" w:x="8320" w:y="3667"/>
        <w:widowControl w:val="0"/>
        <w:autoSpaceDE w:val="0"/>
        <w:autoSpaceDN w:val="0"/>
        <w:spacing w:before="72" w:line="211" w:lineRule="exact"/>
        <w:ind w:left="21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计入当期非经常性损益</w:t>
      </w:r>
    </w:p>
    <w:p>
      <w:pPr>
        <w:framePr w:w="2556" w:x="8320" w:y="3667"/>
        <w:widowControl w:val="0"/>
        <w:autoSpaceDE w:val="0"/>
        <w:autoSpaceDN w:val="0"/>
        <w:spacing w:before="60" w:line="211" w:lineRule="exact"/>
        <w:ind w:left="94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的金额</w:t>
      </w:r>
    </w:p>
    <w:p>
      <w:pPr>
        <w:framePr w:w="662" w:x="2304" w:y="40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4429" w:y="40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296" w:x="6741" w:y="40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563" w:x="1337" w:y="4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非流动资产处置利得合计</w:t>
      </w:r>
    </w:p>
    <w:p>
      <w:pPr>
        <w:framePr w:w="2563" w:x="1337" w:y="450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其中：固定资产处置利得</w:t>
      </w:r>
    </w:p>
    <w:p>
      <w:pPr>
        <w:framePr w:w="2563" w:x="1337" w:y="4504"/>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无形资产处置利得</w:t>
      </w:r>
    </w:p>
    <w:p>
      <w:pPr>
        <w:framePr w:w="2563" w:x="1337" w:y="4504"/>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债务重组利得</w:t>
      </w:r>
    </w:p>
    <w:p>
      <w:pPr>
        <w:framePr w:w="2563" w:x="1337" w:y="450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非货币性资产交换利得</w:t>
      </w:r>
    </w:p>
    <w:p>
      <w:pPr>
        <w:framePr w:w="2563" w:x="1337" w:y="45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接受捐赠</w:t>
      </w:r>
    </w:p>
    <w:p>
      <w:pPr>
        <w:framePr w:w="1085" w:x="1337" w:y="61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w:t>
      </w:r>
    </w:p>
    <w:p>
      <w:pPr>
        <w:framePr w:w="1296" w:x="1337" w:y="64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往来款清理</w:t>
      </w:r>
    </w:p>
    <w:p>
      <w:pPr>
        <w:framePr w:w="1296" w:x="4950" w:y="64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172,366.28</w:t>
      </w:r>
    </w:p>
    <w:p>
      <w:pPr>
        <w:framePr w:w="1085" w:x="7477" w:y="64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8,372.20</w:t>
      </w:r>
    </w:p>
    <w:p>
      <w:pPr>
        <w:framePr w:w="1296" w:x="9583" w:y="64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172,366.28</w:t>
      </w:r>
    </w:p>
    <w:p>
      <w:pPr>
        <w:framePr w:w="1296" w:x="9583" w:y="648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129,694.00</w:t>
      </w:r>
    </w:p>
    <w:p>
      <w:pPr>
        <w:framePr w:w="1296" w:x="9583" w:y="648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108,398.36</w:t>
      </w:r>
    </w:p>
    <w:p>
      <w:pPr>
        <w:framePr w:w="1296" w:x="9583" w:y="648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410,458.64</w:t>
      </w:r>
    </w:p>
    <w:p>
      <w:pPr>
        <w:framePr w:w="1718" w:x="1337" w:y="67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赔偿、罚款收入</w:t>
      </w:r>
    </w:p>
    <w:p>
      <w:pPr>
        <w:framePr w:w="1718" w:x="1337" w:y="676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296" w:x="4950" w:y="67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129,694.00</w:t>
      </w:r>
    </w:p>
    <w:p>
      <w:pPr>
        <w:framePr w:w="1296" w:x="4950" w:y="67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108,398.36</w:t>
      </w:r>
    </w:p>
    <w:p>
      <w:pPr>
        <w:framePr w:w="1296" w:x="4950" w:y="676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410,458.64</w:t>
      </w:r>
    </w:p>
    <w:p>
      <w:pPr>
        <w:framePr w:w="1296" w:x="7266" w:y="676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24,195.40</w:t>
      </w:r>
    </w:p>
    <w:p>
      <w:pPr>
        <w:framePr w:w="1296" w:x="7266" w:y="676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142,041.76</w:t>
      </w:r>
    </w:p>
    <w:p>
      <w:pPr>
        <w:framePr w:w="1296" w:x="7266" w:y="676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174,609.36</w:t>
      </w:r>
    </w:p>
    <w:p>
      <w:pPr>
        <w:framePr w:w="662" w:x="2304" w:y="73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563" w:x="1798" w:y="77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计入当期损益的政府补助</w:t>
      </w:r>
    </w:p>
    <w:p>
      <w:pPr>
        <w:framePr w:w="2563" w:x="1798" w:y="773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3" w:x="1798" w:y="773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922" w:x="1798" w:y="93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2" w:x="1798" w:y="9315"/>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营业外支出</w:t>
      </w:r>
    </w:p>
    <w:p>
      <w:pPr>
        <w:framePr w:w="1922" w:x="1798" w:y="931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09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0902"/>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计入当期非经常性损益</w:t>
      </w:r>
    </w:p>
    <w:p>
      <w:pPr>
        <w:framePr w:w="2554" w:x="8320" w:y="10902"/>
        <w:widowControl w:val="0"/>
        <w:autoSpaceDE w:val="0"/>
        <w:autoSpaceDN w:val="0"/>
        <w:spacing w:before="60" w:line="211" w:lineRule="exact"/>
        <w:ind w:left="94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的金额</w:t>
      </w:r>
    </w:p>
    <w:p>
      <w:pPr>
        <w:framePr w:w="662" w:x="2494" w:y="11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4379" w:y="11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296" w:x="6731" w:y="11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930" w:x="1798" w:y="117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非流动资产处置损</w:t>
      </w:r>
    </w:p>
    <w:p>
      <w:pPr>
        <w:framePr w:w="1930" w:x="1798" w:y="1173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失合计</w:t>
      </w:r>
    </w:p>
    <w:p>
      <w:pPr>
        <w:framePr w:w="1507" w:x="4724" w:y="117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1,930,916.56</w:t>
      </w:r>
    </w:p>
    <w:p>
      <w:pPr>
        <w:framePr w:w="1507" w:x="4724" w:y="11739"/>
        <w:widowControl w:val="0"/>
        <w:autoSpaceDE w:val="0"/>
        <w:autoSpaceDN w:val="0"/>
        <w:spacing w:before="3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1,930,916.56</w:t>
      </w:r>
    </w:p>
    <w:p>
      <w:pPr>
        <w:framePr w:w="1507" w:x="7053" w:y="117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2,733,823.05</w:t>
      </w:r>
    </w:p>
    <w:p>
      <w:pPr>
        <w:framePr w:w="1507" w:x="7053" w:y="11739"/>
        <w:widowControl w:val="0"/>
        <w:autoSpaceDE w:val="0"/>
        <w:autoSpaceDN w:val="0"/>
        <w:spacing w:before="3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2,733,823.05</w:t>
      </w:r>
    </w:p>
    <w:p>
      <w:pPr>
        <w:framePr w:w="1507" w:x="9372" w:y="117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1,930,916.56</w:t>
      </w:r>
    </w:p>
    <w:p>
      <w:pPr>
        <w:framePr w:w="2141" w:x="1798" w:y="122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其中：固定资产处置</w:t>
      </w:r>
    </w:p>
    <w:p>
      <w:pPr>
        <w:framePr w:w="2141" w:x="1798" w:y="1229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损失</w:t>
      </w:r>
    </w:p>
    <w:p>
      <w:pPr>
        <w:framePr w:w="1507" w:x="9372" w:y="1229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1,930,916.56</w:t>
      </w:r>
    </w:p>
    <w:p>
      <w:pPr>
        <w:framePr w:w="1930" w:x="1798" w:y="128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无形资产处置损失</w:t>
      </w:r>
    </w:p>
    <w:p>
      <w:pPr>
        <w:framePr w:w="1930" w:x="1798" w:y="128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债务重组损失</w:t>
      </w:r>
    </w:p>
    <w:p>
      <w:pPr>
        <w:framePr w:w="1930" w:x="1798" w:y="128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w:t>
      </w:r>
    </w:p>
    <w:p>
      <w:pPr>
        <w:framePr w:w="1930" w:x="1798" w:y="1284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损失</w:t>
      </w:r>
    </w:p>
    <w:p>
      <w:pPr>
        <w:framePr w:w="1085" w:x="1798" w:y="139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对外捐赠</w:t>
      </w:r>
    </w:p>
    <w:p>
      <w:pPr>
        <w:framePr w:w="1613" w:x="4619" w:y="13969"/>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157,132.00</w:t>
      </w:r>
    </w:p>
    <w:p>
      <w:pPr>
        <w:framePr w:w="1613" w:x="4619" w:y="1396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10,058,394.37</w:t>
      </w:r>
    </w:p>
    <w:p>
      <w:pPr>
        <w:framePr w:w="1613" w:x="4619" w:y="1396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1,036,501.83</w:t>
      </w:r>
    </w:p>
    <w:p>
      <w:pPr>
        <w:framePr w:w="1613" w:x="4619" w:y="13969"/>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764,100.00</w:t>
      </w:r>
    </w:p>
    <w:p>
      <w:pPr>
        <w:framePr w:w="1296" w:x="7261" w:y="13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221,000.00</w:t>
      </w:r>
    </w:p>
    <w:p>
      <w:pPr>
        <w:framePr w:w="1296" w:x="7261" w:y="13969"/>
        <w:widowControl w:val="0"/>
        <w:autoSpaceDE w:val="0"/>
        <w:autoSpaceDN w:val="0"/>
        <w:spacing w:before="91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32,706.91</w:t>
      </w:r>
    </w:p>
    <w:p>
      <w:pPr>
        <w:framePr w:w="1613" w:x="9266" w:y="13969"/>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157,132.00</w:t>
      </w:r>
    </w:p>
    <w:p>
      <w:pPr>
        <w:framePr w:w="1613" w:x="9266" w:y="1396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10,058,394.37</w:t>
      </w:r>
    </w:p>
    <w:p>
      <w:pPr>
        <w:framePr w:w="1613" w:x="9266" w:y="1396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1,036,501.83</w:t>
      </w:r>
    </w:p>
    <w:p>
      <w:pPr>
        <w:framePr w:w="1613" w:x="9266" w:y="13969"/>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764,100.00</w:t>
      </w:r>
    </w:p>
    <w:p>
      <w:pPr>
        <w:framePr w:w="1085" w:x="1798" w:y="14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非常损失</w:t>
      </w:r>
    </w:p>
    <w:p>
      <w:pPr>
        <w:framePr w:w="1085" w:x="1798" w:y="145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罚款支出</w:t>
      </w:r>
    </w:p>
    <w:p>
      <w:pPr>
        <w:framePr w:w="1085" w:x="1798" w:y="148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赔偿支出</w:t>
      </w:r>
    </w:p>
    <w:p>
      <w:pPr>
        <w:framePr w:w="662" w:x="1798" w:y="150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190" w:x="5039" w:y="150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66,439.31</w:t>
      </w:r>
    </w:p>
    <w:p>
      <w:pPr>
        <w:framePr w:w="1190" w:x="9686" w:y="150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66,439.31</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12" type="#_x0000_t75" style="width:445.6pt;height:2.7pt;margin-top:53.65pt;margin-left:87.45pt;mso-position-horizontal-relative:page;mso-position-vertical-relative:page;position:absolute;z-index:-251249664">
            <v:imagedata r:id="rId327" o:title=""/>
          </v:shape>
        </w:pict>
      </w:r>
      <w:r>
        <w:rPr>
          <w:noProof/>
        </w:rPr>
        <w:pict>
          <v:shape id="_x0000_s1413" type="#_x0000_t75" style="width:478pt;height:185.65pt;margin-top:194.4pt;margin-left:60.3pt;mso-position-horizontal-relative:page;mso-position-vertical-relative:page;position:absolute;z-index:-251345920">
            <v:imagedata r:id="rId328" o:title=""/>
          </v:shape>
        </w:pict>
      </w:r>
      <w:r>
        <w:rPr>
          <w:noProof/>
        </w:rPr>
        <w:pict>
          <v:shape id="_x0000_s1414" type="#_x0000_t75" style="width:454.95pt;height:212.25pt;margin-top:556.25pt;margin-left:83.25pt;mso-position-horizontal-relative:page;mso-position-vertical-relative:page;position:absolute;z-index:-251487232">
            <v:imagedata r:id="rId329" o:title=""/>
          </v:shape>
        </w:pict>
      </w:r>
    </w:p>
    <w:p>
      <w:pPr>
        <w:spacing w:line="0" w:lineRule="atLeast"/>
        <w:rPr>
          <w:rFonts w:ascii="Arial" w:eastAsiaTheme="minorEastAsia" w:hAnsiTheme="minorHAnsi" w:cstheme="minorBidi"/>
          <w:color w:val="FF0000"/>
          <w:sz w:val="2"/>
          <w:szCs w:val="22"/>
          <w:lang w:val="en-US" w:eastAsia="en-US" w:bidi="ar-SA"/>
        </w:rPr>
      </w:pPr>
      <w:bookmarkStart w:id="168" w:name="br1_167"/>
      <w:bookmarkEnd w:id="16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248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461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14,013,484.07</w:t>
      </w:r>
    </w:p>
    <w:p>
      <w:pPr>
        <w:framePr w:w="1507" w:x="7053"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2,987,529.96</w:t>
      </w:r>
    </w:p>
    <w:p>
      <w:pPr>
        <w:framePr w:w="1613" w:x="926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14,013,484.07</w:t>
      </w:r>
    </w:p>
    <w:p>
      <w:pPr>
        <w:framePr w:w="1296" w:x="1798" w:y="1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8595" w:x="2218" w:y="24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日，本公司全资子公司辽宁先达烯草酮车间试生产期间发生爆炸事故，本次</w:t>
      </w:r>
    </w:p>
    <w:p>
      <w:pPr>
        <w:framePr w:w="9014" w:x="1798" w:y="28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事故造成形成的财产净损失</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10,058,394.37</w:t>
      </w:r>
      <w:r>
        <w:rPr>
          <w:rFonts w:ascii="SimSun" w:hAnsi="SimSun" w:eastAsiaTheme="minorEastAsia" w:cs="SimSun"/>
          <w:color w:val="000000"/>
          <w:sz w:val="21"/>
          <w:szCs w:val="22"/>
          <w:lang w:val="en-US" w:eastAsia="en-US" w:bidi="ar-SA"/>
        </w:rPr>
        <w:t>元，罚款</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1,000,000.00</w:t>
      </w:r>
      <w:r>
        <w:rPr>
          <w:rFonts w:ascii="SimSun" w:hAnsi="SimSun" w:eastAsiaTheme="minorEastAsia" w:cs="SimSun"/>
          <w:color w:val="000000"/>
          <w:sz w:val="21"/>
          <w:szCs w:val="22"/>
          <w:lang w:val="en-US" w:eastAsia="en-US" w:bidi="ar-SA"/>
        </w:rPr>
        <w:t>元，赔偿净支出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764,100.00</w:t>
      </w:r>
    </w:p>
    <w:p>
      <w:pPr>
        <w:framePr w:w="662" w:x="1798" w:y="32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元。</w:t>
      </w:r>
    </w:p>
    <w:p>
      <w:pPr>
        <w:framePr w:w="1934" w:x="1798" w:y="3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所得税费用</w:t>
      </w:r>
    </w:p>
    <w:p>
      <w:pPr>
        <w:framePr w:w="1934" w:x="1798" w:y="38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所得税费用表</w:t>
      </w:r>
    </w:p>
    <w:p>
      <w:pPr>
        <w:framePr w:w="1817" w:x="1798" w:y="48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1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944" w:x="1798" w:y="5439"/>
        <w:widowControl w:val="0"/>
        <w:autoSpaceDE w:val="0"/>
        <w:autoSpaceDN w:val="0"/>
        <w:spacing w:line="211" w:lineRule="exact"/>
        <w:ind w:left="128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44" w:x="1798" w:y="5439"/>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当期所得税费用</w:t>
      </w:r>
    </w:p>
    <w:p>
      <w:pPr>
        <w:framePr w:w="1944" w:x="1798" w:y="543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递延所得税费用</w:t>
      </w:r>
    </w:p>
    <w:p>
      <w:pPr>
        <w:framePr w:w="1944" w:x="1798" w:y="5439"/>
        <w:widowControl w:val="0"/>
        <w:autoSpaceDE w:val="0"/>
        <w:autoSpaceDN w:val="0"/>
        <w:spacing w:before="70" w:line="211" w:lineRule="exact"/>
        <w:ind w:left="128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125" w:x="5835" w:y="5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2125" w:x="5835" w:y="5439"/>
        <w:widowControl w:val="0"/>
        <w:autoSpaceDE w:val="0"/>
        <w:autoSpaceDN w:val="0"/>
        <w:spacing w:before="74" w:line="211" w:lineRule="exact"/>
        <w:ind w:left="51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33,032,535.04</w:t>
      </w:r>
    </w:p>
    <w:p>
      <w:pPr>
        <w:framePr w:w="2110" w:x="8759" w:y="5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110" w:x="8759" w:y="5439"/>
        <w:widowControl w:val="0"/>
        <w:autoSpaceDE w:val="0"/>
        <w:autoSpaceDN w:val="0"/>
        <w:spacing w:before="74" w:line="211" w:lineRule="exact"/>
        <w:ind w:left="50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32,362,958.10</w:t>
      </w:r>
    </w:p>
    <w:p>
      <w:pPr>
        <w:framePr w:w="1613" w:x="6347" w:y="6008"/>
        <w:widowControl w:val="0"/>
        <w:autoSpaceDE w:val="0"/>
        <w:autoSpaceDN w:val="0"/>
        <w:spacing w:line="211" w:lineRule="exact"/>
        <w:ind w:left="11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5,584,498.56</w:t>
      </w:r>
    </w:p>
    <w:p>
      <w:pPr>
        <w:framePr w:w="1613" w:x="6347" w:y="600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38,617,033.60</w:t>
      </w:r>
    </w:p>
    <w:p>
      <w:pPr>
        <w:framePr w:w="1613" w:x="9261" w:y="600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2,153,244.99</w:t>
      </w:r>
    </w:p>
    <w:p>
      <w:pPr>
        <w:framePr w:w="1613" w:x="9261" w:y="600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34,516,203.09</w:t>
      </w:r>
    </w:p>
    <w:p>
      <w:pPr>
        <w:framePr w:w="3619" w:x="1798" w:y="6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会计利润与所得税费用调整过程</w:t>
      </w:r>
    </w:p>
    <w:p>
      <w:pPr>
        <w:framePr w:w="1817" w:x="1798" w:y="72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7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30" w:x="1798" w:y="8031"/>
        <w:widowControl w:val="0"/>
        <w:autoSpaceDE w:val="0"/>
        <w:autoSpaceDN w:val="0"/>
        <w:spacing w:line="211" w:lineRule="exact"/>
        <w:ind w:left="186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530" w:x="1798" w:y="803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利润总额</w:t>
      </w:r>
    </w:p>
    <w:p>
      <w:pPr>
        <w:framePr w:w="1296" w:x="7876" w:y="80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718" w:x="9156" w:y="83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214,651,368.70</w:t>
      </w:r>
    </w:p>
    <w:p>
      <w:pPr>
        <w:framePr w:w="1718" w:x="9156" w:y="8314"/>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53,662,842.16</w:t>
      </w:r>
    </w:p>
    <w:p>
      <w:pPr>
        <w:framePr w:w="1718" w:x="9156" w:y="8314"/>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-21,057,109.49</w:t>
      </w:r>
    </w:p>
    <w:p>
      <w:pPr>
        <w:framePr w:w="1718" w:x="9156" w:y="8314"/>
        <w:widowControl w:val="0"/>
        <w:autoSpaceDE w:val="0"/>
        <w:autoSpaceDN w:val="0"/>
        <w:spacing w:before="77"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1,480,519.77</w:t>
      </w:r>
    </w:p>
    <w:p>
      <w:pPr>
        <w:framePr w:w="3514" w:x="1798" w:y="85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按法定</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适用税率计算的所得税费用</w:t>
      </w:r>
    </w:p>
    <w:p>
      <w:pPr>
        <w:framePr w:w="3514" w:x="1798" w:y="85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子公司适用不同税率的影响</w:t>
      </w:r>
    </w:p>
    <w:p>
      <w:pPr>
        <w:framePr w:w="3514" w:x="1798" w:y="85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调整以前期间所得税的影响</w:t>
      </w:r>
    </w:p>
    <w:p>
      <w:pPr>
        <w:framePr w:w="3514" w:x="1798" w:y="85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非应税收入的影响</w:t>
      </w:r>
    </w:p>
    <w:p>
      <w:pPr>
        <w:framePr w:w="4253" w:x="1798" w:y="97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不可抵扣的成本、费用和损失的影响</w:t>
      </w:r>
    </w:p>
    <w:p>
      <w:pPr>
        <w:framePr w:w="4253" w:x="1798" w:y="974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使用前期未确认递延所得税资产的可抵扣亏</w:t>
      </w:r>
    </w:p>
    <w:p>
      <w:pPr>
        <w:framePr w:w="4253" w:x="1798" w:y="974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损的影响</w:t>
      </w:r>
    </w:p>
    <w:p>
      <w:pPr>
        <w:framePr w:w="1613" w:x="9261" w:y="974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2,187,786.80</w:t>
      </w:r>
    </w:p>
    <w:p>
      <w:pPr>
        <w:framePr w:w="1613" w:x="9261" w:y="9749"/>
        <w:widowControl w:val="0"/>
        <w:autoSpaceDE w:val="0"/>
        <w:autoSpaceDN w:val="0"/>
        <w:spacing w:before="63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16,609,127.55</w:t>
      </w:r>
    </w:p>
    <w:p>
      <w:pPr>
        <w:framePr w:w="4253" w:x="1798" w:y="105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本期未确认递延所得税资产的可抵扣暂时性</w:t>
      </w:r>
    </w:p>
    <w:p>
      <w:pPr>
        <w:framePr w:w="4253" w:x="1798" w:y="1059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差异或可抵扣亏损的影响</w:t>
      </w:r>
    </w:p>
    <w:p>
      <w:pPr>
        <w:framePr w:w="4253" w:x="1798" w:y="10597"/>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本公司税收优惠的影响</w:t>
      </w:r>
    </w:p>
    <w:p>
      <w:pPr>
        <w:framePr w:w="1613" w:x="9261" w:y="111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-7,057,636.53</w:t>
      </w:r>
    </w:p>
    <w:p>
      <w:pPr>
        <w:framePr w:w="1613" w:x="9261" w:y="11156"/>
        <w:widowControl w:val="0"/>
        <w:autoSpaceDE w:val="0"/>
        <w:autoSpaceDN w:val="0"/>
        <w:spacing w:before="77"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-4,037.54</w:t>
      </w:r>
    </w:p>
    <w:p>
      <w:pPr>
        <w:framePr w:w="3830" w:x="1798" w:y="114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税率变动对期初递延所得税余额的影响</w:t>
      </w:r>
    </w:p>
    <w:p>
      <w:pPr>
        <w:framePr w:w="3830" w:x="1798" w:y="11444"/>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研发费用加计扣除</w:t>
      </w:r>
    </w:p>
    <w:p>
      <w:pPr>
        <w:framePr w:w="1613" w:x="9261" w:y="117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-7,204,459.12</w:t>
      </w:r>
    </w:p>
    <w:p>
      <w:pPr>
        <w:framePr w:w="1613" w:x="9261" w:y="11732"/>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38,617,033.60</w:t>
      </w:r>
    </w:p>
    <w:p>
      <w:pPr>
        <w:framePr w:w="1296" w:x="1798" w:y="12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所得税费用</w:t>
      </w:r>
    </w:p>
    <w:p>
      <w:pPr>
        <w:framePr w:w="1296" w:x="1798" w:y="124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2011" w:x="1798" w:y="129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1295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其他综合收益</w:t>
      </w:r>
    </w:p>
    <w:p>
      <w:pPr>
        <w:framePr w:w="2011" w:x="1798" w:y="1295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15" type="#_x0000_t75" style="width:445.6pt;height:2.7pt;margin-top:53.65pt;margin-left:87.45pt;mso-position-horizontal-relative:page;mso-position-vertical-relative:page;position:absolute;z-index:-251198464">
            <v:imagedata r:id="rId330" o:title=""/>
          </v:shape>
        </w:pict>
      </w:r>
      <w:r>
        <w:rPr>
          <w:noProof/>
        </w:rPr>
        <w:pict>
          <v:shape id="_x0000_s1416" type="#_x0000_t75" style="width:454.95pt;height:16.65pt;margin-top:74.3pt;margin-left:83.25pt;mso-position-horizontal-relative:page;mso-position-vertical-relative:page;position:absolute;z-index:-251248640">
            <v:imagedata r:id="rId331" o:title=""/>
          </v:shape>
        </w:pict>
      </w:r>
      <w:r>
        <w:rPr>
          <w:noProof/>
        </w:rPr>
        <w:pict>
          <v:shape id="_x0000_s1417" type="#_x0000_t75" style="width:455.55pt;height:59.35pt;margin-top:268.75pt;margin-left:83pt;mso-position-horizontal-relative:page;mso-position-vertical-relative:page;position:absolute;z-index:-251344896">
            <v:imagedata r:id="rId332" o:title=""/>
          </v:shape>
        </w:pict>
      </w:r>
      <w:r>
        <w:rPr>
          <w:noProof/>
        </w:rPr>
        <w:pict>
          <v:shape id="_x0000_s1418" type="#_x0000_t75" style="width:455.55pt;height:216.2pt;margin-top:398.55pt;margin-left:82.9pt;mso-position-horizontal-relative:page;mso-position-vertical-relative:page;position:absolute;z-index:-251486208">
            <v:imagedata r:id="rId333" o:title=""/>
          </v:shape>
        </w:pict>
      </w:r>
    </w:p>
    <w:p>
      <w:pPr>
        <w:spacing w:line="0" w:lineRule="atLeast"/>
        <w:rPr>
          <w:rFonts w:ascii="Arial" w:eastAsiaTheme="minorEastAsia" w:hAnsiTheme="minorHAnsi" w:cstheme="minorBidi"/>
          <w:color w:val="FF0000"/>
          <w:sz w:val="2"/>
          <w:szCs w:val="22"/>
          <w:lang w:val="en-US" w:eastAsia="en-US" w:bidi="ar-SA"/>
        </w:rPr>
      </w:pPr>
      <w:bookmarkStart w:id="169" w:name="br1_168"/>
      <w:bookmarkEnd w:id="16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222"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现金流量表项目</w:t>
      </w:r>
    </w:p>
    <w:p>
      <w:pPr>
        <w:framePr w:w="3830"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收到的其他与经营活动有关的现金</w:t>
      </w:r>
    </w:p>
    <w:p>
      <w:pPr>
        <w:framePr w:w="3830"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8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865"/>
        <w:widowControl w:val="0"/>
        <w:autoSpaceDE w:val="0"/>
        <w:autoSpaceDN w:val="0"/>
        <w:spacing w:before="72" w:line="211" w:lineRule="exact"/>
        <w:ind w:left="49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045" w:x="1798" w:y="3149"/>
        <w:widowControl w:val="0"/>
        <w:autoSpaceDE w:val="0"/>
        <w:autoSpaceDN w:val="0"/>
        <w:spacing w:line="211" w:lineRule="exact"/>
        <w:ind w:left="138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045" w:x="1798" w:y="31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1296" w:x="5984" w:y="3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507" w:x="6553" w:y="34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3,112,976.24</w:t>
      </w:r>
    </w:p>
    <w:p>
      <w:pPr>
        <w:framePr w:w="1613" w:x="9266" w:y="3432"/>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1,304,721.63</w:t>
      </w:r>
    </w:p>
    <w:p>
      <w:pPr>
        <w:framePr w:w="1613" w:x="9266" w:y="343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20,421,540.33</w:t>
      </w:r>
    </w:p>
    <w:p>
      <w:pPr>
        <w:framePr w:w="1613" w:x="9266" w:y="343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9,808,621.09</w:t>
      </w:r>
    </w:p>
    <w:p>
      <w:pPr>
        <w:framePr w:w="1613" w:x="9266" w:y="3432"/>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751,480.98</w:t>
      </w:r>
    </w:p>
    <w:p>
      <w:pPr>
        <w:framePr w:w="1085" w:x="1798" w:y="3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w:t>
      </w:r>
    </w:p>
    <w:p>
      <w:pPr>
        <w:framePr w:w="1507" w:x="6553" w:y="3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4,449,941.79</w:t>
      </w:r>
    </w:p>
    <w:p>
      <w:pPr>
        <w:framePr w:w="2352" w:x="1798" w:y="39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返还多缴的企业所得税</w:t>
      </w:r>
    </w:p>
    <w:p>
      <w:pPr>
        <w:framePr w:w="2352" w:x="1798" w:y="399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往来款及其他</w:t>
      </w:r>
    </w:p>
    <w:p>
      <w:pPr>
        <w:framePr w:w="2352" w:x="1798" w:y="3996"/>
        <w:widowControl w:val="0"/>
        <w:autoSpaceDE w:val="0"/>
        <w:autoSpaceDN w:val="0"/>
        <w:spacing w:before="70" w:line="211" w:lineRule="exact"/>
        <w:ind w:left="138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6762" w:y="42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312,670.18</w:t>
      </w:r>
    </w:p>
    <w:p>
      <w:pPr>
        <w:framePr w:w="1507" w:x="6553" w:y="45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7,875,588.21</w:t>
      </w:r>
    </w:p>
    <w:p>
      <w:pPr>
        <w:framePr w:w="1613" w:x="9266" w:y="45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32,286,364.03</w:t>
      </w:r>
    </w:p>
    <w:p>
      <w:pPr>
        <w:framePr w:w="4042" w:x="1798" w:y="49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收到的其他与经营活动有关的现金说明：</w:t>
      </w:r>
    </w:p>
    <w:p>
      <w:pPr>
        <w:framePr w:w="4042" w:x="1798" w:y="496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830" w:x="1798" w:y="60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支付的其他与经营活动有关的现金</w:t>
      </w:r>
    </w:p>
    <w:p>
      <w:pPr>
        <w:framePr w:w="3830" w:x="1798" w:y="601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0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078"/>
        <w:widowControl w:val="0"/>
        <w:autoSpaceDE w:val="0"/>
        <w:autoSpaceDN w:val="0"/>
        <w:spacing w:before="70" w:line="211" w:lineRule="exact"/>
        <w:ind w:left="47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045" w:x="1798" w:y="7359"/>
        <w:widowControl w:val="0"/>
        <w:autoSpaceDE w:val="0"/>
        <w:autoSpaceDN w:val="0"/>
        <w:spacing w:line="211" w:lineRule="exact"/>
        <w:ind w:left="138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045" w:x="1798" w:y="73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费用性支出</w:t>
      </w:r>
    </w:p>
    <w:p>
      <w:pPr>
        <w:framePr w:w="1296" w:x="5975" w:y="73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718" w:x="6323" w:y="76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200,699,071.12</w:t>
      </w:r>
    </w:p>
    <w:p>
      <w:pPr>
        <w:framePr w:w="1718" w:x="6323" w:y="7642"/>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540,288.64</w:t>
      </w:r>
    </w:p>
    <w:p>
      <w:pPr>
        <w:framePr w:w="1718" w:x="9160" w:y="76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260,623,867.32</w:t>
      </w:r>
    </w:p>
    <w:p>
      <w:pPr>
        <w:framePr w:w="1718" w:x="9160" w:y="7642"/>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548,898.61</w:t>
      </w:r>
    </w:p>
    <w:p>
      <w:pPr>
        <w:framePr w:w="2563" w:x="1798" w:y="79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备用金、押金、保证金等</w:t>
      </w:r>
    </w:p>
    <w:p>
      <w:pPr>
        <w:framePr w:w="2563" w:x="1798" w:y="792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违约金、罚款</w:t>
      </w:r>
    </w:p>
    <w:p>
      <w:pPr>
        <w:framePr w:w="2563" w:x="1798" w:y="792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往来及其他</w:t>
      </w:r>
    </w:p>
    <w:p>
      <w:pPr>
        <w:framePr w:w="1718" w:x="6323" w:y="8206"/>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1,800,601.83</w:t>
      </w:r>
    </w:p>
    <w:p>
      <w:pPr>
        <w:framePr w:w="1718" w:x="6323" w:y="8206"/>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5,411,497.75</w:t>
      </w:r>
    </w:p>
    <w:p>
      <w:pPr>
        <w:framePr w:w="1718" w:x="6323" w:y="820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208,451,459.34</w:t>
      </w:r>
    </w:p>
    <w:p>
      <w:pPr>
        <w:framePr w:w="1190" w:x="9686" w:y="84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13,745.37</w:t>
      </w:r>
    </w:p>
    <w:p>
      <w:pPr>
        <w:framePr w:w="662" w:x="3180" w:y="87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160" w:y="87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261,186,511.30</w:t>
      </w:r>
    </w:p>
    <w:p>
      <w:pPr>
        <w:framePr w:w="4042" w:x="1798" w:y="91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支付的其他与经营活动有关的现金说明：</w:t>
      </w:r>
    </w:p>
    <w:p>
      <w:pPr>
        <w:framePr w:w="4042" w:x="1798" w:y="917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830" w:x="1798" w:y="102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收到的其他与投资活动有关的现金</w:t>
      </w:r>
    </w:p>
    <w:p>
      <w:pPr>
        <w:framePr w:w="3830" w:x="1798" w:y="1023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11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支付的其他与投资活动有关的现金</w:t>
      </w:r>
    </w:p>
    <w:p>
      <w:pPr>
        <w:framePr w:w="3830" w:x="1798" w:y="1128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123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(5).</w:t>
      </w:r>
      <w:r>
        <w:rPr>
          <w:rFonts w:ascii="SimSun" w:hAnsi="SimSun" w:eastAsiaTheme="minorEastAsia" w:cs="SimSun"/>
          <w:color w:val="000000"/>
          <w:spacing w:val="1"/>
          <w:sz w:val="21"/>
          <w:szCs w:val="22"/>
          <w:lang w:val="en-US" w:eastAsia="en-US" w:bidi="ar-SA"/>
        </w:rPr>
        <w:t>收到的其他与筹资活动有关的现金</w:t>
      </w:r>
    </w:p>
    <w:p>
      <w:pPr>
        <w:framePr w:w="1817" w:x="1798" w:y="12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2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264"/>
        <w:widowControl w:val="0"/>
        <w:autoSpaceDE w:val="0"/>
        <w:autoSpaceDN w:val="0"/>
        <w:spacing w:before="70" w:line="211" w:lineRule="exact"/>
        <w:ind w:left="5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507" w:x="2760" w:y="1354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2760" w:y="135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募集资金利息</w:t>
      </w:r>
    </w:p>
    <w:p>
      <w:pPr>
        <w:framePr w:w="1507" w:x="2760" w:y="13544"/>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6027" w:y="135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296" w:x="9580" w:y="138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103,380.49</w:t>
      </w:r>
    </w:p>
    <w:p>
      <w:pPr>
        <w:framePr w:w="1296" w:x="9580" w:y="141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103,380.49</w:t>
      </w:r>
    </w:p>
    <w:p>
      <w:pPr>
        <w:framePr w:w="4042" w:x="1798" w:y="145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收到的其他与筹资活动有关的现金说明：</w:t>
      </w:r>
    </w:p>
    <w:p>
      <w:pPr>
        <w:framePr w:w="4042" w:x="1798" w:y="1451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19" type="#_x0000_t75" style="width:445.6pt;height:2.7pt;margin-top:53.65pt;margin-left:87.45pt;mso-position-horizontal-relative:page;mso-position-vertical-relative:page;position:absolute;z-index:-251197440">
            <v:imagedata r:id="rId334" o:title=""/>
          </v:shape>
        </w:pict>
      </w:r>
      <w:r>
        <w:rPr>
          <w:noProof/>
        </w:rPr>
        <w:pict>
          <v:shape id="_x0000_s1420" type="#_x0000_t75" style="width:455.55pt;height:87.2pt;margin-top:154.45pt;margin-left:83pt;mso-position-horizontal-relative:page;mso-position-vertical-relative:page;position:absolute;z-index:-251247616">
            <v:imagedata r:id="rId335" o:title=""/>
          </v:shape>
        </w:pict>
      </w:r>
      <w:r>
        <w:rPr>
          <w:noProof/>
        </w:rPr>
        <w:pict>
          <v:shape id="_x0000_s1421" type="#_x0000_t75" style="width:455.55pt;height:87.2pt;margin-top:364.95pt;margin-left:83pt;mso-position-horizontal-relative:page;mso-position-vertical-relative:page;position:absolute;z-index:-251343872">
            <v:imagedata r:id="rId336" o:title=""/>
          </v:shape>
        </w:pict>
      </w:r>
      <w:r>
        <w:rPr>
          <w:noProof/>
        </w:rPr>
        <w:pict>
          <v:shape id="_x0000_s1422" type="#_x0000_t75" style="width:455.55pt;height:44.85pt;margin-top:674.25pt;margin-left:83pt;mso-position-horizontal-relative:page;mso-position-vertical-relative:page;position:absolute;z-index:-251485184">
            <v:imagedata r:id="rId337" o:title=""/>
          </v:shape>
        </w:pict>
      </w:r>
    </w:p>
    <w:p>
      <w:pPr>
        <w:spacing w:line="0" w:lineRule="atLeast"/>
        <w:rPr>
          <w:rFonts w:ascii="Arial" w:eastAsiaTheme="minorEastAsia" w:hAnsiTheme="minorHAnsi" w:cstheme="minorBidi"/>
          <w:color w:val="FF0000"/>
          <w:sz w:val="2"/>
          <w:szCs w:val="22"/>
          <w:lang w:val="en-US" w:eastAsia="en-US" w:bidi="ar-SA"/>
        </w:rPr>
      </w:pPr>
      <w:bookmarkStart w:id="170" w:name="br1_169"/>
      <w:bookmarkEnd w:id="17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83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(6).</w:t>
      </w:r>
      <w:r>
        <w:rPr>
          <w:rFonts w:ascii="SimSun" w:hAnsi="SimSun" w:eastAsiaTheme="minorEastAsia" w:cs="SimSun"/>
          <w:color w:val="000000"/>
          <w:spacing w:val="1"/>
          <w:sz w:val="21"/>
          <w:szCs w:val="22"/>
          <w:lang w:val="en-US" w:eastAsia="en-US" w:bidi="ar-SA"/>
        </w:rPr>
        <w:t>支付的其他与筹资活动有关的现金</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594"/>
        <w:widowControl w:val="0"/>
        <w:autoSpaceDE w:val="0"/>
        <w:autoSpaceDN w:val="0"/>
        <w:spacing w:before="70" w:line="211" w:lineRule="exact"/>
        <w:ind w:left="5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718" w:x="2655" w:y="2875"/>
        <w:widowControl w:val="0"/>
        <w:autoSpaceDE w:val="0"/>
        <w:autoSpaceDN w:val="0"/>
        <w:spacing w:line="211" w:lineRule="exact"/>
        <w:ind w:left="52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718" w:x="2655" w:y="287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受限的货币资金</w:t>
      </w:r>
    </w:p>
    <w:p>
      <w:pPr>
        <w:framePr w:w="1718" w:x="2655" w:y="2875"/>
        <w:widowControl w:val="0"/>
        <w:autoSpaceDE w:val="0"/>
        <w:autoSpaceDN w:val="0"/>
        <w:spacing w:before="72" w:line="211" w:lineRule="exact"/>
        <w:ind w:left="52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6027"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613" w:x="6534" w:y="3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19,356,770.88</w:t>
      </w:r>
    </w:p>
    <w:p>
      <w:pPr>
        <w:framePr w:w="1613" w:x="6534" w:y="31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19,356,770.88</w:t>
      </w:r>
    </w:p>
    <w:p>
      <w:pPr>
        <w:framePr w:w="1613" w:x="9266" w:y="3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91,114,742.99</w:t>
      </w:r>
    </w:p>
    <w:p>
      <w:pPr>
        <w:framePr w:w="1613" w:x="9266" w:y="34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91,114,742.99</w:t>
      </w:r>
    </w:p>
    <w:p>
      <w:pPr>
        <w:framePr w:w="4042" w:x="1798" w:y="37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支付的其他与筹资活动有关的现金说明：</w:t>
      </w:r>
    </w:p>
    <w:p>
      <w:pPr>
        <w:framePr w:w="4042" w:x="1798" w:y="3782"/>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645" w:x="1798" w:y="45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现金流量表补充资料</w:t>
      </w:r>
    </w:p>
    <w:p>
      <w:pPr>
        <w:framePr w:w="2645" w:x="1798" w:y="4507"/>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现金流量表补充资料</w:t>
      </w:r>
    </w:p>
    <w:p>
      <w:pPr>
        <w:framePr w:w="2645" w:x="1798" w:y="450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0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6094"/>
        <w:widowControl w:val="0"/>
        <w:autoSpaceDE w:val="0"/>
        <w:autoSpaceDN w:val="0"/>
        <w:spacing w:before="72" w:line="211" w:lineRule="exact"/>
        <w:ind w:left="61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上期金额</w:t>
      </w:r>
    </w:p>
    <w:p>
      <w:pPr>
        <w:framePr w:w="3514" w:x="1798" w:y="6377"/>
        <w:widowControl w:val="0"/>
        <w:autoSpaceDE w:val="0"/>
        <w:autoSpaceDN w:val="0"/>
        <w:spacing w:line="211" w:lineRule="exact"/>
        <w:ind w:left="121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补充资料</w:t>
      </w:r>
    </w:p>
    <w:p>
      <w:pPr>
        <w:framePr w:w="3514" w:x="1798" w:y="637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．将净利润调节为经营活动现金流</w:t>
      </w:r>
    </w:p>
    <w:p>
      <w:pPr>
        <w:framePr w:w="3514" w:x="1798" w:y="637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量：</w:t>
      </w:r>
    </w:p>
    <w:p>
      <w:pPr>
        <w:framePr w:w="1085" w:x="6152" w:y="63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本期金额</w:t>
      </w:r>
    </w:p>
    <w:p>
      <w:pPr>
        <w:framePr w:w="874" w:x="1798" w:y="7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净利润</w:t>
      </w:r>
    </w:p>
    <w:p>
      <w:pPr>
        <w:framePr w:w="1718" w:x="6395" w:y="72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176,034,335.10</w:t>
      </w:r>
    </w:p>
    <w:p>
      <w:pPr>
        <w:framePr w:w="1718" w:x="6395" w:y="721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-4,063,128.97</w:t>
      </w:r>
    </w:p>
    <w:p>
      <w:pPr>
        <w:framePr w:w="1718" w:x="6395" w:y="7212"/>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3,711,226.91</w:t>
      </w:r>
    </w:p>
    <w:p>
      <w:pPr>
        <w:framePr w:w="1718" w:x="6395" w:y="721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46,603,192.80</w:t>
      </w:r>
    </w:p>
    <w:p>
      <w:pPr>
        <w:framePr w:w="1718" w:x="9160" w:y="72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204,618,341.01</w:t>
      </w:r>
    </w:p>
    <w:p>
      <w:pPr>
        <w:framePr w:w="1718" w:x="9160" w:y="721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-1,553,860.63</w:t>
      </w:r>
    </w:p>
    <w:p>
      <w:pPr>
        <w:framePr w:w="1718" w:x="9160" w:y="7212"/>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9,458,840.32</w:t>
      </w:r>
    </w:p>
    <w:p>
      <w:pPr>
        <w:framePr w:w="1718" w:x="9160" w:y="721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36,232,654.87</w:t>
      </w:r>
    </w:p>
    <w:p>
      <w:pPr>
        <w:framePr w:w="1930" w:x="1798" w:y="74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加：资产减值准备</w:t>
      </w:r>
    </w:p>
    <w:p>
      <w:pPr>
        <w:framePr w:w="1507" w:x="1798" w:y="77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信用减值损失</w:t>
      </w:r>
    </w:p>
    <w:p>
      <w:pPr>
        <w:framePr w:w="3619" w:x="1798" w:y="80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固定资产折旧、油气资产折耗、生产</w:t>
      </w:r>
    </w:p>
    <w:p>
      <w:pPr>
        <w:framePr w:w="3619" w:x="1798" w:y="805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性生物资产折旧</w:t>
      </w:r>
    </w:p>
    <w:p>
      <w:pPr>
        <w:framePr w:w="1718" w:x="1798" w:y="86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使用权资产摊销</w:t>
      </w:r>
    </w:p>
    <w:p>
      <w:pPr>
        <w:framePr w:w="1507" w:x="1798" w:y="88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无形资产摊销</w:t>
      </w:r>
    </w:p>
    <w:p>
      <w:pPr>
        <w:framePr w:w="1507" w:x="6606" w:y="88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2,690,182.01</w:t>
      </w:r>
    </w:p>
    <w:p>
      <w:pPr>
        <w:framePr w:w="1507" w:x="6606" w:y="8898"/>
        <w:widowControl w:val="0"/>
        <w:autoSpaceDE w:val="0"/>
        <w:autoSpaceDN w:val="0"/>
        <w:spacing w:before="353"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9,382.26</w:t>
      </w:r>
    </w:p>
    <w:p>
      <w:pPr>
        <w:framePr w:w="1507" w:x="9372" w:y="88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2,753,474.22</w:t>
      </w:r>
    </w:p>
    <w:p>
      <w:pPr>
        <w:framePr w:w="1507" w:x="9372" w:y="8898"/>
        <w:widowControl w:val="0"/>
        <w:autoSpaceDE w:val="0"/>
        <w:autoSpaceDN w:val="0"/>
        <w:spacing w:before="353"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474,943.84</w:t>
      </w:r>
    </w:p>
    <w:p>
      <w:pPr>
        <w:framePr w:w="1930" w:x="1798" w:y="91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长期待摊费用摊销</w:t>
      </w:r>
    </w:p>
    <w:p>
      <w:pPr>
        <w:framePr w:w="3619" w:x="1798" w:y="9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处置固定资产、无形资产和其他长期</w:t>
      </w:r>
    </w:p>
    <w:p>
      <w:pPr>
        <w:framePr w:w="3619" w:x="1798" w:y="946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资产的损失（收益以“－”号填列）</w:t>
      </w:r>
    </w:p>
    <w:p>
      <w:pPr>
        <w:framePr w:w="3619" w:x="1798" w:y="94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固定资产报废损失（收益以“－”号</w:t>
      </w:r>
    </w:p>
    <w:p>
      <w:pPr>
        <w:framePr w:w="3619" w:x="1798" w:y="946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填列）</w:t>
      </w:r>
    </w:p>
    <w:p>
      <w:pPr>
        <w:framePr w:w="1718" w:x="6395" w:y="10018"/>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1,930,916.56</w:t>
      </w:r>
    </w:p>
    <w:p>
      <w:pPr>
        <w:framePr w:w="1718" w:x="6395" w:y="10018"/>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-10,318,919.54</w:t>
      </w:r>
    </w:p>
    <w:p>
      <w:pPr>
        <w:framePr w:w="1507" w:x="9372" w:y="100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2,733,823.05</w:t>
      </w:r>
    </w:p>
    <w:p>
      <w:pPr>
        <w:framePr w:w="1507" w:x="9372" w:y="10018"/>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3,174,449.00</w:t>
      </w:r>
    </w:p>
    <w:p>
      <w:pPr>
        <w:framePr w:w="3619" w:x="1798" w:y="10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公允价值变动损失（收益以“－”号</w:t>
      </w:r>
    </w:p>
    <w:p>
      <w:pPr>
        <w:framePr w:w="3619" w:x="1798" w:y="105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填列）</w:t>
      </w:r>
    </w:p>
    <w:p>
      <w:pPr>
        <w:framePr w:w="3619" w:x="1798" w:y="111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财务费用（收益以“－”号填列）</w:t>
      </w:r>
    </w:p>
    <w:p>
      <w:pPr>
        <w:framePr w:w="3619" w:x="1798" w:y="1112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投资损失（收益以“－”号填列）</w:t>
      </w:r>
    </w:p>
    <w:p>
      <w:pPr>
        <w:framePr w:w="3619" w:x="1798" w:y="1112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递延所得税资产减少（增加以“－”</w:t>
      </w:r>
    </w:p>
    <w:p>
      <w:pPr>
        <w:framePr w:w="3619" w:x="1798" w:y="1112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1613" w:x="6501" w:y="111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23,359,772.90</w:t>
      </w:r>
    </w:p>
    <w:p>
      <w:pPr>
        <w:framePr w:w="1613" w:x="6501" w:y="1112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-8,098,122.24</w:t>
      </w:r>
    </w:p>
    <w:p>
      <w:pPr>
        <w:framePr w:w="1613" w:x="6501" w:y="1112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3,977,283.81</w:t>
      </w:r>
    </w:p>
    <w:p>
      <w:pPr>
        <w:framePr w:w="1613" w:x="9266" w:y="111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-4,937,011.50</w:t>
      </w:r>
    </w:p>
    <w:p>
      <w:pPr>
        <w:framePr w:w="1613" w:x="9266" w:y="1112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-7,550,079.49</w:t>
      </w:r>
    </w:p>
    <w:p>
      <w:pPr>
        <w:framePr w:w="1613" w:x="9266" w:y="1112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2,210,443.83</w:t>
      </w:r>
    </w:p>
    <w:p>
      <w:pPr>
        <w:framePr w:w="3619" w:x="1798" w:y="12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递延所得税负债增加（减少以“－”</w:t>
      </w:r>
    </w:p>
    <w:p>
      <w:pPr>
        <w:framePr w:w="3619" w:x="1798" w:y="12245"/>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1507" w:x="6606" w:y="122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1,607,214.75</w:t>
      </w:r>
    </w:p>
    <w:p>
      <w:pPr>
        <w:framePr w:w="1296" w:x="9580" w:y="122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-57,198.84</w:t>
      </w:r>
    </w:p>
    <w:p>
      <w:pPr>
        <w:framePr w:w="3619" w:x="1798" w:y="128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存货的减少（增加以“－”号填列）</w:t>
      </w:r>
    </w:p>
    <w:p>
      <w:pPr>
        <w:framePr w:w="3619" w:x="1798" w:y="1280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经营性应收项目的减少（增加以</w:t>
      </w:r>
    </w:p>
    <w:p>
      <w:pPr>
        <w:framePr w:w="3619" w:x="1798" w:y="1280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1613" w:x="6501" w:y="128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36,526,052.66</w:t>
      </w:r>
    </w:p>
    <w:p>
      <w:pPr>
        <w:framePr w:w="1718" w:x="9160" w:y="128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-72,286,865.68</w:t>
      </w:r>
    </w:p>
    <w:p>
      <w:pPr>
        <w:framePr w:w="1718" w:x="9160" w:y="1280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-98,360,622.01</w:t>
      </w:r>
    </w:p>
    <w:p>
      <w:pPr>
        <w:framePr w:w="1824" w:x="6291" w:y="130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-415,759,561.11</w:t>
      </w:r>
    </w:p>
    <w:p>
      <w:pPr>
        <w:framePr w:w="3197" w:x="1798" w:y="136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经营性应付项目的增加（减少以</w:t>
      </w:r>
    </w:p>
    <w:p>
      <w:pPr>
        <w:framePr w:w="3197" w:x="1798" w:y="1363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1718" w:x="6395" w:y="136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503,175,718.82</w:t>
      </w:r>
    </w:p>
    <w:p>
      <w:pPr>
        <w:framePr w:w="1718" w:x="6395" w:y="13638"/>
        <w:widowControl w:val="0"/>
        <w:autoSpaceDE w:val="0"/>
        <w:autoSpaceDN w:val="0"/>
        <w:spacing w:before="62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361,385,546.72</w:t>
      </w:r>
    </w:p>
    <w:p>
      <w:pPr>
        <w:framePr w:w="1718" w:x="9160" w:y="136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322,651,591.77</w:t>
      </w:r>
    </w:p>
    <w:p>
      <w:pPr>
        <w:framePr w:w="1718" w:x="9160" w:y="13638"/>
        <w:widowControl w:val="0"/>
        <w:autoSpaceDE w:val="0"/>
        <w:autoSpaceDN w:val="0"/>
        <w:spacing w:before="62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399,562,923.76</w:t>
      </w:r>
    </w:p>
    <w:p>
      <w:pPr>
        <w:framePr w:w="662" w:x="1798" w:y="141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3514" w:x="1798" w:y="144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3514" w:x="1798" w:y="1447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．不涉及现金收支的重大投资和筹</w:t>
      </w:r>
    </w:p>
    <w:p>
      <w:pPr>
        <w:framePr w:w="3514" w:x="1798" w:y="1447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资活动：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23" type="#_x0000_t75" style="width:445.6pt;height:2.7pt;margin-top:53.65pt;margin-left:87.45pt;mso-position-horizontal-relative:page;mso-position-vertical-relative:page;position:absolute;z-index:-251246592">
            <v:imagedata r:id="rId338" o:title=""/>
          </v:shape>
        </w:pict>
      </w:r>
      <w:r>
        <w:rPr>
          <w:noProof/>
        </w:rPr>
        <w:pict>
          <v:shape id="_x0000_s1424" type="#_x0000_t75" style="width:455.55pt;height:44.85pt;margin-top:140.8pt;margin-left:83pt;mso-position-horizontal-relative:page;mso-position-vertical-relative:page;position:absolute;z-index:-251342848">
            <v:imagedata r:id="rId339" o:title=""/>
          </v:shape>
        </w:pict>
      </w:r>
      <w:r>
        <w:rPr>
          <w:noProof/>
        </w:rPr>
        <w:pict>
          <v:shape id="_x0000_s1425" type="#_x0000_t75" style="width:454.95pt;height:449.4pt;margin-top:315.75pt;margin-left:83.25pt;mso-position-horizontal-relative:page;mso-position-vertical-relative:page;position:absolute;z-index:-251484160">
            <v:imagedata r:id="rId340" o:title=""/>
          </v:shape>
        </w:pict>
      </w:r>
    </w:p>
    <w:p>
      <w:pPr>
        <w:spacing w:line="0" w:lineRule="atLeast"/>
        <w:rPr>
          <w:rFonts w:ascii="Arial" w:eastAsiaTheme="minorEastAsia" w:hAnsiTheme="minorHAnsi" w:cstheme="minorBidi"/>
          <w:color w:val="FF0000"/>
          <w:sz w:val="2"/>
          <w:szCs w:val="22"/>
          <w:lang w:val="en-US" w:eastAsia="en-US" w:bidi="ar-SA"/>
        </w:rPr>
      </w:pPr>
      <w:bookmarkStart w:id="171" w:name="br1_170"/>
      <w:bookmarkEnd w:id="17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07"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债务转为资本</w:t>
      </w:r>
    </w:p>
    <w:p>
      <w:pPr>
        <w:framePr w:w="2986" w:x="1798"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一年内到期的可转换公司债券</w:t>
      </w:r>
    </w:p>
    <w:p>
      <w:pPr>
        <w:framePr w:w="2986" w:x="1798"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融资租入固定资产</w:t>
      </w:r>
    </w:p>
    <w:p>
      <w:pPr>
        <w:framePr w:w="3514" w:x="1798"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．现金及现金等价物净变动情况：</w:t>
      </w:r>
    </w:p>
    <w:p>
      <w:pPr>
        <w:framePr w:w="3514" w:x="1798" w:y="23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现金的期末余额</w:t>
      </w:r>
    </w:p>
    <w:p>
      <w:pPr>
        <w:framePr w:w="1718" w:x="6395"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332,190,165.92</w:t>
      </w:r>
    </w:p>
    <w:p>
      <w:pPr>
        <w:framePr w:w="1718" w:x="9160"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1718" w:x="9160" w:y="267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242,878,423.00</w:t>
      </w:r>
    </w:p>
    <w:p>
      <w:pPr>
        <w:framePr w:w="2141" w:x="1798"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减：现金的期初余额</w:t>
      </w:r>
    </w:p>
    <w:p>
      <w:pPr>
        <w:framePr w:w="1718" w:x="6395"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2774" w:x="1798"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加：现金等价物的期末余额</w:t>
      </w:r>
    </w:p>
    <w:p>
      <w:pPr>
        <w:framePr w:w="2774" w:x="1798" w:y="32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减：现金等价物的期初余额</w:t>
      </w:r>
    </w:p>
    <w:p>
      <w:pPr>
        <w:framePr w:w="2774" w:x="1798" w:y="32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现金及现金等价物净增加额</w:t>
      </w:r>
    </w:p>
    <w:p>
      <w:pPr>
        <w:framePr w:w="1718" w:x="6395" w:y="38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-31,056,984.51</w:t>
      </w:r>
    </w:p>
    <w:p>
      <w:pPr>
        <w:framePr w:w="1718" w:x="9160" w:y="38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120,368,727.43</w:t>
      </w:r>
    </w:p>
    <w:p>
      <w:pPr>
        <w:framePr w:w="3830" w:x="1798" w:y="42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本期支付的取得子公司的现金净额</w:t>
      </w:r>
    </w:p>
    <w:p>
      <w:pPr>
        <w:framePr w:w="3830" w:x="1798" w:y="4207"/>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52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本期收到的处置子公司的现金净额</w:t>
      </w:r>
    </w:p>
    <w:p>
      <w:pPr>
        <w:framePr w:w="3830" w:x="1798" w:y="52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8" w:x="1798" w:y="6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现金和现金等价物的构成</w:t>
      </w:r>
    </w:p>
    <w:p>
      <w:pPr>
        <w:framePr w:w="2988" w:x="1798" w:y="63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3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380"/>
        <w:widowControl w:val="0"/>
        <w:autoSpaceDE w:val="0"/>
        <w:autoSpaceDN w:val="0"/>
        <w:spacing w:before="70" w:line="211" w:lineRule="exact"/>
        <w:ind w:left="72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020" w:y="77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6267" w:y="77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3185" w:x="1479" w:y="80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一、现金</w:t>
      </w:r>
    </w:p>
    <w:p>
      <w:pPr>
        <w:framePr w:w="3185" w:x="1479" w:y="8059"/>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其中：库存现金</w:t>
      </w:r>
    </w:p>
    <w:p>
      <w:pPr>
        <w:framePr w:w="3185" w:x="1479" w:y="8059"/>
        <w:widowControl w:val="0"/>
        <w:autoSpaceDE w:val="0"/>
        <w:autoSpaceDN w:val="0"/>
        <w:spacing w:before="84" w:line="211" w:lineRule="exact"/>
        <w:ind w:left="4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可随时用于支付的银行存款</w:t>
      </w:r>
    </w:p>
    <w:p>
      <w:pPr>
        <w:framePr w:w="1718" w:x="6597" w:y="80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332,190,165.92</w:t>
      </w:r>
    </w:p>
    <w:p>
      <w:pPr>
        <w:framePr w:w="1718" w:x="6597" w:y="8055"/>
        <w:widowControl w:val="0"/>
        <w:autoSpaceDE w:val="0"/>
        <w:autoSpaceDN w:val="0"/>
        <w:spacing w:before="84"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51,384.04</w:t>
      </w:r>
    </w:p>
    <w:p>
      <w:pPr>
        <w:framePr w:w="1718" w:x="9163" w:y="80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1718" w:x="9163" w:y="8055"/>
        <w:widowControl w:val="0"/>
        <w:autoSpaceDE w:val="0"/>
        <w:autoSpaceDN w:val="0"/>
        <w:spacing w:before="84"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15,451.11</w:t>
      </w:r>
    </w:p>
    <w:p>
      <w:pPr>
        <w:framePr w:w="1718" w:x="6597" w:y="86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332,138,781.88</w:t>
      </w:r>
    </w:p>
    <w:p>
      <w:pPr>
        <w:framePr w:w="1718" w:x="9163" w:y="86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363,231,699.32</w:t>
      </w:r>
    </w:p>
    <w:p>
      <w:pPr>
        <w:framePr w:w="3197" w:x="1901" w:y="89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可随时用于支付的其他货币资金</w:t>
      </w:r>
    </w:p>
    <w:p>
      <w:pPr>
        <w:framePr w:w="3197" w:x="1901" w:y="8945"/>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可用于支付的存放中央银行款项</w:t>
      </w:r>
    </w:p>
    <w:p>
      <w:pPr>
        <w:framePr w:w="3197" w:x="1901" w:y="8945"/>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存放同业款项</w:t>
      </w:r>
    </w:p>
    <w:p>
      <w:pPr>
        <w:framePr w:w="1507" w:x="1901" w:y="9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拆放同业款项</w:t>
      </w:r>
    </w:p>
    <w:p>
      <w:pPr>
        <w:framePr w:w="1718" w:x="1479" w:y="101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二、现金等价物</w:t>
      </w:r>
    </w:p>
    <w:p>
      <w:pPr>
        <w:framePr w:w="3830" w:x="1479" w:y="104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其中：三个月内到期的债券投资</w:t>
      </w:r>
    </w:p>
    <w:p>
      <w:pPr>
        <w:framePr w:w="3830" w:x="1479" w:y="10422"/>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三、期末现金及现金等价物余额</w:t>
      </w:r>
    </w:p>
    <w:p>
      <w:pPr>
        <w:framePr w:w="3830" w:x="1479" w:y="1042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其中：母公司或集团内子公司使用受限</w:t>
      </w:r>
    </w:p>
    <w:p>
      <w:pPr>
        <w:framePr w:w="3830" w:x="1479" w:y="1042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制的现金和现金等价物</w:t>
      </w:r>
    </w:p>
    <w:p>
      <w:pPr>
        <w:framePr w:w="1718" w:x="6597" w:y="107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332,190,165.92</w:t>
      </w:r>
    </w:p>
    <w:p>
      <w:pPr>
        <w:framePr w:w="1718" w:x="9163" w:y="107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1296" w:x="1798" w:y="116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22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274" w:x="1798" w:y="127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所有者权益变动表项目注释</w:t>
      </w:r>
    </w:p>
    <w:p>
      <w:pPr>
        <w:framePr w:w="6787" w:x="1798" w:y="132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说明对上年期末余额进行调整的“其他”项目名称及调整金额等事项：</w:t>
      </w:r>
    </w:p>
    <w:p>
      <w:pPr>
        <w:framePr w:w="6787" w:x="1798" w:y="132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96" w:x="1798" w:y="14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所有权或使用权受到限制的资产</w:t>
      </w:r>
    </w:p>
    <w:p>
      <w:pPr>
        <w:framePr w:w="3696" w:x="1798" w:y="143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26" type="#_x0000_t75" style="width:445.6pt;height:2.7pt;margin-top:53.65pt;margin-left:87.45pt;mso-position-horizontal-relative:page;mso-position-vertical-relative:page;position:absolute;z-index:-251245568">
            <v:imagedata r:id="rId341" o:title=""/>
          </v:shape>
        </w:pict>
      </w:r>
      <w:r>
        <w:rPr>
          <w:noProof/>
        </w:rPr>
        <w:pict>
          <v:shape id="_x0000_s1427" type="#_x0000_t75" style="width:454.95pt;height:129.6pt;margin-top:74.3pt;margin-left:83.25pt;mso-position-horizontal-relative:page;mso-position-vertical-relative:page;position:absolute;z-index:-251341824">
            <v:imagedata r:id="rId342" o:title=""/>
          </v:shape>
        </w:pict>
      </w:r>
      <w:r>
        <w:rPr>
          <w:noProof/>
        </w:rPr>
        <w:pict>
          <v:shape id="_x0000_s1428" type="#_x0000_t75" style="width:471.05pt;height:197.4pt;margin-top:380.1pt;margin-left:67.3pt;mso-position-horizontal-relative:page;mso-position-vertical-relative:page;position:absolute;z-index:-251483136">
            <v:imagedata r:id="rId343" o:title=""/>
          </v:shape>
        </w:pict>
      </w:r>
    </w:p>
    <w:p>
      <w:pPr>
        <w:spacing w:line="0" w:lineRule="atLeast"/>
        <w:rPr>
          <w:rFonts w:ascii="Arial" w:eastAsiaTheme="minorEastAsia" w:hAnsiTheme="minorHAnsi" w:cstheme="minorBidi"/>
          <w:color w:val="FF0000"/>
          <w:sz w:val="2"/>
          <w:szCs w:val="22"/>
          <w:lang w:val="en-US" w:eastAsia="en-US" w:bidi="ar-SA"/>
        </w:rPr>
      </w:pPr>
      <w:bookmarkStart w:id="172" w:name="br1_171"/>
      <w:bookmarkEnd w:id="17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554" w:x="8320"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535"/>
        <w:widowControl w:val="0"/>
        <w:autoSpaceDE w:val="0"/>
        <w:autoSpaceDN w:val="0"/>
        <w:spacing w:before="72" w:line="211" w:lineRule="exact"/>
        <w:ind w:left="63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受限原因</w:t>
      </w:r>
    </w:p>
    <w:p>
      <w:pPr>
        <w:framePr w:w="662" w:x="3082"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5819"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期末账面价值</w:t>
      </w:r>
    </w:p>
    <w:p>
      <w:pPr>
        <w:framePr w:w="1085" w:x="1798"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085" w:x="1798" w:y="2102"/>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085" w:x="1798" w:y="210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085" w:x="1798" w:y="210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3831" w:x="6417"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150,265,000.00</w:t>
      </w:r>
      <w:r>
        <w:rPr>
          <w:rFonts w:ascii="SimSun" w:eastAsiaTheme="minorEastAsia" w:hAnsiTheme="minorHAnsi" w:cstheme="minorBidi"/>
          <w:color w:val="000000"/>
          <w:spacing w:val="118"/>
          <w:sz w:val="21"/>
          <w:szCs w:val="22"/>
          <w:lang w:val="en-US" w:eastAsia="en-US" w:bidi="ar-SA"/>
        </w:rPr>
        <w:t xml:space="preserve"> </w:t>
      </w:r>
      <w:r>
        <w:rPr>
          <w:rFonts w:ascii="SimSun" w:hAnsi="SimSun" w:eastAsiaTheme="minorEastAsia" w:cs="SimSun"/>
          <w:color w:val="000000"/>
          <w:sz w:val="21"/>
          <w:szCs w:val="22"/>
          <w:lang w:val="en-US" w:eastAsia="en-US" w:bidi="ar-SA"/>
        </w:rPr>
        <w:t>银行承兑汇票保证金</w:t>
      </w:r>
    </w:p>
    <w:p>
      <w:pPr>
        <w:framePr w:w="2885" w:x="6522" w:y="23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23,253,680.64</w:t>
      </w:r>
      <w:r>
        <w:rPr>
          <w:rFonts w:ascii="SimSun" w:eastAsiaTheme="minorEastAsia" w:hAnsiTheme="minorHAnsi" w:cstheme="minorBidi"/>
          <w:color w:val="000000"/>
          <w:spacing w:val="11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履约保证金</w:t>
      </w:r>
    </w:p>
    <w:p>
      <w:pPr>
        <w:framePr w:w="1085" w:x="1798"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085" w:x="1798" w:y="32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1613" w:x="6522"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41,167,463.80</w:t>
      </w:r>
    </w:p>
    <w:p>
      <w:pPr>
        <w:framePr w:w="1613" w:x="6522" w:y="324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4,177,094.08</w:t>
      </w:r>
    </w:p>
    <w:p>
      <w:pPr>
        <w:framePr w:w="662" w:x="3082" w:y="38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6417" w:y="38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218,863,238.52</w:t>
      </w:r>
    </w:p>
    <w:p>
      <w:pPr>
        <w:framePr w:w="346" w:x="9319" w:y="38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296" w:x="1798" w:y="44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4430"/>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222" w:x="1798" w:y="54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外币货币性项目</w:t>
      </w:r>
    </w:p>
    <w:p>
      <w:pPr>
        <w:framePr w:w="2222" w:x="1798" w:y="5427"/>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外币货币性项目</w:t>
      </w:r>
    </w:p>
    <w:p>
      <w:pPr>
        <w:framePr w:w="2222" w:x="1798" w:y="542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9792" w:y="70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p>
    <w:p>
      <w:pPr>
        <w:framePr w:w="1718" w:x="8980" w:y="72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期末折算人民币</w:t>
      </w:r>
    </w:p>
    <w:p>
      <w:pPr>
        <w:framePr w:w="1718" w:x="8980" w:y="7296"/>
        <w:widowControl w:val="0"/>
        <w:autoSpaceDE w:val="0"/>
        <w:autoSpaceDN w:val="0"/>
        <w:spacing w:before="60" w:line="211" w:lineRule="exact"/>
        <w:ind w:left="52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余额</w:t>
      </w:r>
    </w:p>
    <w:p>
      <w:pPr>
        <w:framePr w:w="662" w:x="2928" w:y="74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4981" w:y="74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期末外币余额</w:t>
      </w:r>
    </w:p>
    <w:p>
      <w:pPr>
        <w:framePr w:w="1085" w:x="7247" w:y="74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折算汇率</w:t>
      </w:r>
    </w:p>
    <w:p>
      <w:pPr>
        <w:framePr w:w="1296" w:x="1798" w:y="78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296" w:x="1798" w:y="785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296" w:x="1798" w:y="7851"/>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346" w:x="6424" w:y="78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8483" w:y="78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613" w:x="5163" w:y="81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10,764,995.31</w:t>
      </w:r>
    </w:p>
    <w:p>
      <w:pPr>
        <w:framePr w:w="874" w:x="7957" w:y="81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6.5249</w:t>
      </w:r>
    </w:p>
    <w:p>
      <w:pPr>
        <w:framePr w:w="1613" w:x="9266" w:y="81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70,240,518.80</w:t>
      </w:r>
    </w:p>
    <w:p>
      <w:pPr>
        <w:framePr w:w="662" w:x="2429" w:y="86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662" w:x="2429" w:y="89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澳元</w:t>
      </w:r>
    </w:p>
    <w:p>
      <w:pPr>
        <w:framePr w:w="1613" w:x="5163" w:y="8979"/>
        <w:widowControl w:val="0"/>
        <w:autoSpaceDE w:val="0"/>
        <w:autoSpaceDN w:val="0"/>
        <w:spacing w:line="211" w:lineRule="exact"/>
        <w:ind w:left="84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16.25</w:t>
      </w:r>
    </w:p>
    <w:p>
      <w:pPr>
        <w:framePr w:w="1613" w:x="5163" w:y="897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98,405,739.24</w:t>
      </w:r>
    </w:p>
    <w:p>
      <w:pPr>
        <w:framePr w:w="1613" w:x="5163" w:y="8979"/>
        <w:widowControl w:val="0"/>
        <w:autoSpaceDE w:val="0"/>
        <w:autoSpaceDN w:val="0"/>
        <w:spacing w:before="72" w:line="211" w:lineRule="exact"/>
        <w:ind w:left="126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874" w:x="7957" w:y="89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5.0160</w:t>
      </w:r>
    </w:p>
    <w:p>
      <w:pPr>
        <w:framePr w:w="874" w:x="7957" w:y="897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0.0005</w:t>
      </w:r>
    </w:p>
    <w:p>
      <w:pPr>
        <w:framePr w:w="874" w:x="7957" w:y="8979"/>
        <w:widowControl w:val="0"/>
        <w:autoSpaceDE w:val="0"/>
        <w:autoSpaceDN w:val="0"/>
        <w:spacing w:before="7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768" w:x="10106" w:y="89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81.51</w:t>
      </w:r>
    </w:p>
    <w:p>
      <w:pPr>
        <w:framePr w:w="2134" w:x="1798" w:y="9262"/>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印度尼西亚盾</w:t>
      </w:r>
    </w:p>
    <w:p>
      <w:pPr>
        <w:framePr w:w="2134" w:x="1798" w:y="926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2134" w:x="1798" w:y="926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2134" w:x="1798" w:y="9262"/>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1190" w:x="9686" w:y="926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49,202.87</w:t>
      </w:r>
    </w:p>
    <w:p>
      <w:pPr>
        <w:framePr w:w="1613" w:x="5163" w:y="98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29,834,849.25</w:t>
      </w:r>
    </w:p>
    <w:p>
      <w:pPr>
        <w:framePr w:w="874" w:x="7957" w:y="98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6.5249</w:t>
      </w:r>
    </w:p>
    <w:p>
      <w:pPr>
        <w:framePr w:w="1718" w:x="9160" w:y="98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194,669,277.36</w:t>
      </w:r>
    </w:p>
    <w:p>
      <w:pPr>
        <w:framePr w:w="662" w:x="2429" w:y="103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662" w:x="2429" w:y="106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澳元</w:t>
      </w:r>
    </w:p>
    <w:p>
      <w:pPr>
        <w:framePr w:w="1718" w:x="5058" w:y="10673"/>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322,000.00</w:t>
      </w:r>
    </w:p>
    <w:p>
      <w:pPr>
        <w:framePr w:w="1718" w:x="5058" w:y="1067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727,283,756.00</w:t>
      </w:r>
    </w:p>
    <w:p>
      <w:pPr>
        <w:framePr w:w="1718" w:x="5058" w:y="10673"/>
        <w:widowControl w:val="0"/>
        <w:autoSpaceDE w:val="0"/>
        <w:autoSpaceDN w:val="0"/>
        <w:spacing w:before="72" w:line="211" w:lineRule="exact"/>
        <w:ind w:left="136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874" w:x="7957" w:y="106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5.0160</w:t>
      </w:r>
    </w:p>
    <w:p>
      <w:pPr>
        <w:framePr w:w="874" w:x="7957" w:y="1067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0.0005</w:t>
      </w:r>
    </w:p>
    <w:p>
      <w:pPr>
        <w:framePr w:w="874" w:x="7957" w:y="10673"/>
        <w:widowControl w:val="0"/>
        <w:autoSpaceDE w:val="0"/>
        <w:autoSpaceDN w:val="0"/>
        <w:spacing w:before="7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507" w:x="9372" w:y="106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1,615,248.60</w:t>
      </w:r>
    </w:p>
    <w:p>
      <w:pPr>
        <w:framePr w:w="1507" w:x="9372" w:y="10673"/>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363,641.88</w:t>
      </w:r>
    </w:p>
    <w:p>
      <w:pPr>
        <w:framePr w:w="2134" w:x="1798" w:y="10957"/>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印度尼西亚盾</w:t>
      </w:r>
    </w:p>
    <w:p>
      <w:pPr>
        <w:framePr w:w="2134" w:x="1798" w:y="1095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2134" w:x="1798" w:y="1095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2134" w:x="1798" w:y="10957"/>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662" w:x="2429" w:y="12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1296" w:x="1798" w:y="12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296" w:x="1798" w:y="1236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296" w:x="1798" w:y="12368"/>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346" w:x="6424" w:y="123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8483" w:y="123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134" w:x="1798" w:y="13216"/>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印度尼西亚盾</w:t>
      </w:r>
    </w:p>
    <w:p>
      <w:pPr>
        <w:framePr w:w="2134" w:x="1798" w:y="1321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2134" w:x="1798" w:y="1321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2134" w:x="1798" w:y="13216"/>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1507" w:x="5269" w:y="132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6,164,397.00</w:t>
      </w:r>
    </w:p>
    <w:p>
      <w:pPr>
        <w:framePr w:w="1507" w:x="5269" w:y="13216"/>
        <w:widowControl w:val="0"/>
        <w:autoSpaceDE w:val="0"/>
        <w:autoSpaceDN w:val="0"/>
        <w:spacing w:before="72" w:line="211" w:lineRule="exact"/>
        <w:ind w:left="115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874" w:x="7957" w:y="132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0.0005</w:t>
      </w:r>
    </w:p>
    <w:p>
      <w:pPr>
        <w:framePr w:w="874" w:x="7957" w:y="13216"/>
        <w:widowControl w:val="0"/>
        <w:autoSpaceDE w:val="0"/>
        <w:autoSpaceDN w:val="0"/>
        <w:spacing w:before="7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613" w:x="9266" w:y="13216"/>
        <w:widowControl w:val="0"/>
        <w:autoSpaceDE w:val="0"/>
        <w:autoSpaceDN w:val="0"/>
        <w:spacing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3,082.20</w:t>
      </w:r>
    </w:p>
    <w:p>
      <w:pPr>
        <w:framePr w:w="1613" w:x="9266" w:y="13216"/>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15,595,998.94</w:t>
      </w:r>
    </w:p>
    <w:p>
      <w:pPr>
        <w:framePr w:w="1613" w:x="9266" w:y="13216"/>
        <w:widowControl w:val="0"/>
        <w:autoSpaceDE w:val="0"/>
        <w:autoSpaceDN w:val="0"/>
        <w:spacing w:before="355"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1,963,036.65</w:t>
      </w:r>
    </w:p>
    <w:p>
      <w:pPr>
        <w:framePr w:w="1613" w:x="9266" w:y="13216"/>
        <w:widowControl w:val="0"/>
        <w:autoSpaceDE w:val="0"/>
        <w:autoSpaceDN w:val="0"/>
        <w:spacing w:before="353"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39,240.75</w:t>
      </w:r>
    </w:p>
    <w:p>
      <w:pPr>
        <w:framePr w:w="1507" w:x="5269" w:y="137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2,390,228.04</w:t>
      </w:r>
    </w:p>
    <w:p>
      <w:pPr>
        <w:framePr w:w="874" w:x="7957" w:y="137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6.5249</w:t>
      </w:r>
    </w:p>
    <w:p>
      <w:pPr>
        <w:framePr w:w="2134" w:x="1798" w:y="14346"/>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印度尼西亚盾</w:t>
      </w:r>
    </w:p>
    <w:p>
      <w:pPr>
        <w:framePr w:w="2134" w:x="1798" w:y="1434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2134" w:x="1798" w:y="1434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930" w:x="4849" w:y="143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3,926,073,297.31</w:t>
      </w:r>
    </w:p>
    <w:p>
      <w:pPr>
        <w:framePr w:w="874" w:x="7957" w:y="143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0.0005</w:t>
      </w:r>
    </w:p>
    <w:p>
      <w:pPr>
        <w:framePr w:w="874" w:x="7957" w:y="14346"/>
        <w:widowControl w:val="0"/>
        <w:autoSpaceDE w:val="0"/>
        <w:autoSpaceDN w:val="0"/>
        <w:spacing w:before="70"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6424" w:y="146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085" w:x="5689" w:y="149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6,014.00</w:t>
      </w:r>
    </w:p>
    <w:p>
      <w:pPr>
        <w:framePr w:w="874" w:x="7957" w:y="149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6.5249</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29" type="#_x0000_t75" style="width:445.6pt;height:2.7pt;margin-top:53.65pt;margin-left:87.45pt;mso-position-horizontal-relative:page;mso-position-vertical-relative:page;position:absolute;z-index:-251244544">
            <v:imagedata r:id="rId344" o:title=""/>
          </v:shape>
        </w:pict>
      </w:r>
      <w:r>
        <w:rPr>
          <w:noProof/>
        </w:rPr>
        <w:pict>
          <v:shape id="_x0000_s1430" type="#_x0000_t75" style="width:455.8pt;height:116.5pt;margin-top:88pt;margin-left:82.9pt;mso-position-horizontal-relative:page;mso-position-vertical-relative:page;position:absolute;z-index:-251340800">
            <v:imagedata r:id="rId345" o:title=""/>
          </v:shape>
        </w:pict>
      </w:r>
      <w:r>
        <w:rPr>
          <w:noProof/>
        </w:rPr>
        <w:pict>
          <v:shape id="_x0000_s1431" type="#_x0000_t75" style="width:454.95pt;height:397.35pt;margin-top:361.85pt;margin-left:83.25pt;mso-position-horizontal-relative:page;mso-position-vertical-relative:page;position:absolute;z-index:-251482112">
            <v:imagedata r:id="rId346" o:title=""/>
          </v:shape>
        </w:pict>
      </w:r>
    </w:p>
    <w:p>
      <w:pPr>
        <w:spacing w:line="0" w:lineRule="atLeast"/>
        <w:rPr>
          <w:rFonts w:ascii="Arial" w:eastAsiaTheme="minorEastAsia" w:hAnsiTheme="minorHAnsi" w:cstheme="minorBidi"/>
          <w:color w:val="FF0000"/>
          <w:sz w:val="2"/>
          <w:szCs w:val="22"/>
          <w:lang w:val="en-US" w:eastAsia="en-US" w:bidi="ar-SA"/>
        </w:rPr>
      </w:pPr>
      <w:bookmarkStart w:id="173" w:name="br1_172"/>
      <w:bookmarkEnd w:id="17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242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662" w:x="242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1296" w:x="1798" w:y="22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223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110" w:x="1798" w:y="3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境外经营实体说明，包括对于重要的境外经营实体，应披露其境外主要经营地、记账本位币</w:t>
      </w:r>
    </w:p>
    <w:p>
      <w:pPr>
        <w:framePr w:w="4886" w:x="2225" w:y="36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及选择依据，记账本位币发生变化的还应披露原因</w:t>
      </w:r>
    </w:p>
    <w:p>
      <w:pPr>
        <w:framePr w:w="1817" w:x="1798" w:y="4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422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套期</w:t>
      </w:r>
    </w:p>
    <w:p>
      <w:pPr>
        <w:framePr w:w="1817" w:x="1798" w:y="52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528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政府补助</w:t>
      </w:r>
    </w:p>
    <w:p>
      <w:pPr>
        <w:framePr w:w="2357" w:x="1798" w:y="63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政府补助基本情况</w:t>
      </w:r>
    </w:p>
    <w:p>
      <w:pPr>
        <w:framePr w:w="2357" w:x="1798" w:y="634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3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397"/>
        <w:widowControl w:val="0"/>
        <w:autoSpaceDE w:val="0"/>
        <w:autoSpaceDN w:val="0"/>
        <w:spacing w:before="72" w:line="211" w:lineRule="exact"/>
        <w:ind w:left="8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w:t>
      </w:r>
    </w:p>
    <w:p>
      <w:pPr>
        <w:framePr w:w="662" w:x="3094" w:y="78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种类</w:t>
      </w:r>
    </w:p>
    <w:p>
      <w:pPr>
        <w:framePr w:w="662" w:x="5629" w:y="78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085" w:x="7473" w:y="78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列报项目</w:t>
      </w:r>
    </w:p>
    <w:p>
      <w:pPr>
        <w:framePr w:w="662" w:x="9674" w:y="79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296" w:x="1798" w:y="82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喹草酮项目</w:t>
      </w:r>
    </w:p>
    <w:p>
      <w:pPr>
        <w:framePr w:w="3608" w:x="5394" w:y="8235"/>
        <w:widowControl w:val="0"/>
        <w:autoSpaceDE w:val="0"/>
        <w:autoSpaceDN w:val="0"/>
        <w:spacing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530,000.00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递延收益</w:t>
      </w:r>
    </w:p>
    <w:p>
      <w:pPr>
        <w:framePr w:w="3608" w:x="5394" w:y="8235"/>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递延收益</w:t>
      </w:r>
    </w:p>
    <w:p>
      <w:pPr>
        <w:framePr w:w="3608" w:x="5394" w:y="8235"/>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递延收益</w:t>
      </w:r>
    </w:p>
    <w:p>
      <w:pPr>
        <w:framePr w:w="3608" w:x="5394" w:y="8235"/>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109,000.00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递延收益</w:t>
      </w:r>
    </w:p>
    <w:p>
      <w:pPr>
        <w:framePr w:w="3608" w:x="5394" w:y="8235"/>
        <w:widowControl w:val="0"/>
        <w:autoSpaceDE w:val="0"/>
        <w:autoSpaceDN w:val="0"/>
        <w:spacing w:before="70"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递延收益</w:t>
      </w:r>
    </w:p>
    <w:p>
      <w:pPr>
        <w:framePr w:w="3608" w:x="5394" w:y="8235"/>
        <w:widowControl w:val="0"/>
        <w:autoSpaceDE w:val="0"/>
        <w:autoSpaceDN w:val="0"/>
        <w:spacing w:before="72"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递延收益</w:t>
      </w:r>
    </w:p>
    <w:p>
      <w:pPr>
        <w:framePr w:w="3608" w:x="5394" w:y="8235"/>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628,376.30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其他收益、递延收益</w:t>
      </w:r>
    </w:p>
    <w:p>
      <w:pPr>
        <w:framePr w:w="3608" w:x="5394" w:y="8235"/>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112,079.20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其他收益、递延收益</w:t>
      </w:r>
    </w:p>
    <w:p>
      <w:pPr>
        <w:framePr w:w="3608" w:x="5394" w:y="8235"/>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192,800.00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其他收益、递延收益</w:t>
      </w:r>
    </w:p>
    <w:p>
      <w:pPr>
        <w:framePr w:w="3608" w:x="5394" w:y="823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1,192,500.00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608" w:x="5394" w:y="8235"/>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450,500.00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608" w:x="5394" w:y="8235"/>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449,726.00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608" w:x="5394" w:y="8235"/>
        <w:widowControl w:val="0"/>
        <w:autoSpaceDE w:val="0"/>
        <w:autoSpaceDN w:val="0"/>
        <w:spacing w:before="72"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16,016.00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608" w:x="5394" w:y="8235"/>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288,200.00</w:t>
      </w:r>
      <w:r>
        <w:rPr>
          <w:rFonts w:ascii="SimSun"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608" w:x="5394" w:y="8235"/>
        <w:widowControl w:val="0"/>
        <w:autoSpaceDE w:val="0"/>
        <w:autoSpaceDN w:val="0"/>
        <w:spacing w:before="72" w:line="211" w:lineRule="exact"/>
        <w:ind w:left="147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296" w:x="9580" w:y="82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910,272.56</w:t>
      </w:r>
    </w:p>
    <w:p>
      <w:pPr>
        <w:framePr w:w="3024" w:x="1798" w:y="85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鸢都产业领军人才补助经费</w:t>
      </w:r>
    </w:p>
    <w:p>
      <w:pPr>
        <w:framePr w:w="3024" w:x="1798" w:y="8515"/>
        <w:widowControl w:val="0"/>
        <w:autoSpaceDE w:val="0"/>
        <w:autoSpaceDN w:val="0"/>
        <w:spacing w:before="53" w:line="25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1"/>
          <w:sz w:val="21"/>
          <w:szCs w:val="22"/>
          <w:lang w:val="en-US" w:eastAsia="en-US" w:bidi="ar-SA"/>
        </w:rPr>
        <w:t>年潍坊市</w:t>
      </w:r>
      <w:r>
        <w:rPr>
          <w:rFonts w:ascii="Calibri" w:hAnsi="Calibri" w:eastAsiaTheme="minorEastAsia" w:cs="Calibri"/>
          <w:color w:val="000000"/>
          <w:spacing w:val="-1"/>
          <w:sz w:val="21"/>
          <w:szCs w:val="22"/>
          <w:lang w:val="en-US" w:eastAsia="en-US" w:bidi="ar-SA"/>
        </w:rPr>
        <w:t>“</w:t>
      </w:r>
      <w:r>
        <w:rPr>
          <w:rFonts w:ascii="SimSun" w:hAnsi="SimSun" w:eastAsiaTheme="minorEastAsia" w:cs="SimSun"/>
          <w:color w:val="000000"/>
          <w:sz w:val="21"/>
          <w:szCs w:val="22"/>
          <w:lang w:val="en-US" w:eastAsia="en-US" w:bidi="ar-SA"/>
        </w:rPr>
        <w:t>隐形冠军</w:t>
      </w:r>
      <w:r>
        <w:rPr>
          <w:rFonts w:ascii="Calibri" w:hAnsi="Calibri" w:eastAsiaTheme="minorEastAsia" w:cs="Calibr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奖励</w:t>
      </w:r>
    </w:p>
    <w:p>
      <w:pPr>
        <w:framePr w:w="3024" w:x="1798" w:y="8515"/>
        <w:widowControl w:val="0"/>
        <w:autoSpaceDE w:val="0"/>
        <w:autoSpaceDN w:val="0"/>
        <w:spacing w:before="45"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年度创新创业政策资金</w:t>
      </w:r>
    </w:p>
    <w:p>
      <w:pPr>
        <w:framePr w:w="3024" w:x="1798" w:y="851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年市场监管市级专项资金</w:t>
      </w:r>
    </w:p>
    <w:p>
      <w:pPr>
        <w:framePr w:w="3024" w:x="1798" w:y="851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党组织经费</w:t>
      </w:r>
    </w:p>
    <w:p>
      <w:pPr>
        <w:framePr w:w="1296" w:x="9580" w:y="87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500,000.00</w:t>
      </w:r>
    </w:p>
    <w:p>
      <w:pPr>
        <w:framePr w:w="1296" w:x="9580" w:y="879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109,000.00</w:t>
      </w:r>
    </w:p>
    <w:p>
      <w:pPr>
        <w:framePr w:w="1296" w:x="9580" w:y="8799"/>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w:t>
      </w:r>
    </w:p>
    <w:p>
      <w:pPr>
        <w:framePr w:w="1930" w:x="1798" w:y="99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稳定就业岗位补贴</w:t>
      </w:r>
    </w:p>
    <w:p>
      <w:pPr>
        <w:framePr w:w="1930" w:x="1798" w:y="99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出口信用保险补助</w:t>
      </w:r>
    </w:p>
    <w:p>
      <w:pPr>
        <w:framePr w:w="1930" w:x="1798" w:y="99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专利奖励资金</w:t>
      </w:r>
    </w:p>
    <w:p>
      <w:pPr>
        <w:framePr w:w="1507" w:x="9372" w:y="9929"/>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474,496.60</w:t>
      </w:r>
    </w:p>
    <w:p>
      <w:pPr>
        <w:framePr w:w="1507" w:x="9372" w:y="9929"/>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112,079.20</w:t>
      </w:r>
    </w:p>
    <w:p>
      <w:pPr>
        <w:framePr w:w="1507" w:x="9372" w:y="9929"/>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192,800.00</w:t>
      </w:r>
    </w:p>
    <w:p>
      <w:pPr>
        <w:framePr w:w="1507" w:x="9372" w:y="99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1,192,500.00</w:t>
      </w:r>
    </w:p>
    <w:p>
      <w:pPr>
        <w:framePr w:w="1507" w:x="9372" w:y="9929"/>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450,500.00</w:t>
      </w:r>
    </w:p>
    <w:p>
      <w:pPr>
        <w:framePr w:w="1507" w:x="9372" w:y="9929"/>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449,726.00</w:t>
      </w:r>
    </w:p>
    <w:p>
      <w:pPr>
        <w:framePr w:w="1507" w:x="9372" w:y="9929"/>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16,016.00</w:t>
      </w:r>
    </w:p>
    <w:p>
      <w:pPr>
        <w:framePr w:w="2352" w:x="1798" w:y="10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企业研究开发财政补助</w:t>
      </w:r>
    </w:p>
    <w:p>
      <w:pPr>
        <w:framePr w:w="2352" w:x="1798" w:y="1077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疫情补助</w:t>
      </w:r>
    </w:p>
    <w:p>
      <w:pPr>
        <w:framePr w:w="2774" w:x="1798" w:y="113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外经贸和商贸流通专项资金</w:t>
      </w:r>
    </w:p>
    <w:p>
      <w:pPr>
        <w:framePr w:w="2774" w:x="1798" w:y="1134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保险补贴</w:t>
      </w:r>
    </w:p>
    <w:p>
      <w:pPr>
        <w:framePr w:w="1085" w:x="1798" w:y="119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财政贴息</w:t>
      </w:r>
    </w:p>
    <w:p>
      <w:pPr>
        <w:framePr w:w="1507" w:x="9372" w:y="11905"/>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288,200.00</w:t>
      </w:r>
    </w:p>
    <w:p>
      <w:pPr>
        <w:framePr w:w="1507" w:x="9372" w:y="1190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1,640,576.46</w:t>
      </w:r>
    </w:p>
    <w:p>
      <w:pPr>
        <w:framePr w:w="1507" w:x="9372" w:y="11905"/>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2,231.64</w:t>
      </w:r>
    </w:p>
    <w:p>
      <w:pPr>
        <w:framePr w:w="1296" w:x="1798" w:y="121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土地返还款</w:t>
      </w:r>
    </w:p>
    <w:p>
      <w:pPr>
        <w:framePr w:w="2141" w:x="1798" w:y="12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农业局捐赠监管设备</w:t>
      </w:r>
    </w:p>
    <w:p>
      <w:pPr>
        <w:framePr w:w="2141" w:x="1798" w:y="124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工会回拨经费</w:t>
      </w:r>
    </w:p>
    <w:p>
      <w:pPr>
        <w:framePr w:w="1085" w:x="6868" w:y="12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085" w:x="6868" w:y="12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085" w:x="9792" w:y="127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5,424.40</w:t>
      </w:r>
    </w:p>
    <w:p>
      <w:pPr>
        <w:framePr w:w="2774" w:x="1798" w:y="13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大气治理环保项目专项资金</w:t>
      </w:r>
    </w:p>
    <w:p>
      <w:pPr>
        <w:framePr w:w="2774" w:x="1798" w:y="1303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6868" w:y="13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507" w:x="9372" w:y="13036"/>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183,333.15</w:t>
      </w:r>
    </w:p>
    <w:p>
      <w:pPr>
        <w:framePr w:w="1507" w:x="9372" w:y="1303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6,583,156.01</w:t>
      </w:r>
    </w:p>
    <w:p>
      <w:pPr>
        <w:framePr w:w="1507" w:x="5394" w:y="133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4,735,197.50</w:t>
      </w:r>
    </w:p>
    <w:p>
      <w:pPr>
        <w:framePr w:w="2357" w:x="1798" w:y="139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政府补助退回情况</w:t>
      </w:r>
    </w:p>
    <w:p>
      <w:pPr>
        <w:framePr w:w="2357" w:x="1798" w:y="1399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1399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32" type="#_x0000_t75" style="width:445.6pt;height:2.7pt;margin-top:53.65pt;margin-left:87.45pt;mso-position-horizontal-relative:page;mso-position-vertical-relative:page;position:absolute;z-index:-251243520">
            <v:imagedata r:id="rId347" o:title=""/>
          </v:shape>
        </w:pict>
      </w:r>
      <w:r>
        <w:rPr>
          <w:noProof/>
        </w:rPr>
        <w:pict>
          <v:shape id="_x0000_s1433" type="#_x0000_t75" style="width:454.95pt;height:30.8pt;margin-top:74.3pt;margin-left:83.25pt;mso-position-horizontal-relative:page;mso-position-vertical-relative:page;position:absolute;z-index:-251339776">
            <v:imagedata r:id="rId348" o:title=""/>
          </v:shape>
        </w:pict>
      </w:r>
      <w:r>
        <w:rPr>
          <w:noProof/>
        </w:rPr>
        <w:pict>
          <v:shape id="_x0000_s1434" type="#_x0000_t75" style="width:454.95pt;height:298.55pt;margin-top:380.95pt;margin-left:83.25pt;mso-position-horizontal-relative:page;mso-position-vertical-relative:page;position:absolute;z-index:-251481088">
            <v:imagedata r:id="rId349" o:title=""/>
          </v:shape>
        </w:pict>
      </w:r>
    </w:p>
    <w:p>
      <w:pPr>
        <w:spacing w:line="0" w:lineRule="atLeast"/>
        <w:rPr>
          <w:rFonts w:ascii="Arial" w:eastAsiaTheme="minorEastAsia" w:hAnsiTheme="minorHAnsi" w:cstheme="minorBidi"/>
          <w:color w:val="FF0000"/>
          <w:sz w:val="2"/>
          <w:szCs w:val="22"/>
          <w:lang w:val="en-US" w:eastAsia="en-US" w:bidi="ar-SA"/>
        </w:rPr>
      </w:pPr>
      <w:bookmarkStart w:id="174" w:name="br1_173"/>
      <w:bookmarkEnd w:id="17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451"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166"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2770"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八、合并范围的变更</w:t>
      </w:r>
    </w:p>
    <w:p>
      <w:pPr>
        <w:framePr w:w="2770"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非同一控制下企业合并</w:t>
      </w:r>
    </w:p>
    <w:p>
      <w:pPr>
        <w:framePr w:w="2770"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2594"/>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同一控制下企业合并</w:t>
      </w:r>
    </w:p>
    <w:p>
      <w:pPr>
        <w:framePr w:w="2770"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反向购买</w:t>
      </w:r>
    </w:p>
    <w:p>
      <w:pPr>
        <w:framePr w:w="1817" w:x="1798" w:y="6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6293"/>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处置子公司</w:t>
      </w:r>
    </w:p>
    <w:p>
      <w:pPr>
        <w:framePr w:w="5098" w:x="1798" w:y="7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是否存在单次处置对子公司投资即丧失控制权的情形</w:t>
      </w:r>
    </w:p>
    <w:p>
      <w:pPr>
        <w:framePr w:w="1817" w:x="1798" w:y="7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84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8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1" w:x="1798" w:y="94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其他原因的合并范围变动</w:t>
      </w:r>
    </w:p>
    <w:p>
      <w:pPr>
        <w:framePr w:w="8266" w:x="1798"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说明其他原因导致的合并范围变动（如，新设子公司、清算子公司等）及其相关情况：</w:t>
      </w:r>
    </w:p>
    <w:p>
      <w:pPr>
        <w:framePr w:w="1817" w:x="1798" w:y="105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091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1"/>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23</w:t>
      </w:r>
      <w:r>
        <w:rPr>
          <w:rFonts w:ascii="SimSun" w:hAnsi="SimSun" w:eastAsiaTheme="minorEastAsia" w:cs="SimSun"/>
          <w:color w:val="000000"/>
          <w:spacing w:val="-1"/>
          <w:sz w:val="21"/>
          <w:szCs w:val="22"/>
          <w:lang w:val="en-US" w:eastAsia="en-US" w:bidi="ar-SA"/>
        </w:rPr>
        <w:t>日，经山东省发展与改革委员会批准，本公司在香港设立全资子公司香港</w:t>
      </w:r>
    </w:p>
    <w:p>
      <w:pPr>
        <w:framePr w:w="9110" w:x="1798" w:y="109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德胜实业有限公司（英文名称：</w:t>
      </w:r>
      <w:r>
        <w:rPr>
          <w:rFonts w:ascii="SimSun" w:eastAsiaTheme="minorEastAsia" w:hAnsiTheme="minorHAnsi" w:cstheme="minorBidi"/>
          <w:color w:val="000000"/>
          <w:sz w:val="21"/>
          <w:szCs w:val="22"/>
          <w:lang w:val="en-US" w:eastAsia="en-US" w:bidi="ar-SA"/>
        </w:rPr>
        <w:t>WINZONE</w:t>
      </w:r>
      <w:r>
        <w:rPr>
          <w:rFonts w:ascii="SimSun"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INDUSTRIAL</w:t>
      </w:r>
      <w:r>
        <w:rPr>
          <w:rFonts w:ascii="SimSun"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LIMITED</w:t>
      </w:r>
      <w:r>
        <w:rPr>
          <w:rFonts w:ascii="SimSun" w:hAnsi="SimSun" w:eastAsiaTheme="minorEastAsia" w:cs="SimSun"/>
          <w:color w:val="000000"/>
          <w:spacing w:val="-10"/>
          <w:sz w:val="21"/>
          <w:szCs w:val="22"/>
          <w:lang w:val="en-US" w:eastAsia="en-US" w:bidi="ar-SA"/>
        </w:rPr>
        <w:t>）。注册资本为</w:t>
      </w:r>
      <w:r>
        <w:rPr>
          <w:rFonts w:eastAsiaTheme="minorEastAsia" w:hAnsiTheme="minorHAnsi" w:cstheme="minorBidi"/>
          <w:color w:val="000000"/>
          <w:spacing w:val="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港币，</w:t>
      </w:r>
    </w:p>
    <w:p>
      <w:pPr>
        <w:framePr w:w="9110" w:x="1798" w:y="109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公司类型：有限责任公司（非自然人投资或控股的法人独资），所属行业：批发和零售业，经营</w:t>
      </w:r>
    </w:p>
    <w:p>
      <w:pPr>
        <w:framePr w:w="9110" w:x="1798" w:y="109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范围：国际贸易代理；农药的批发、零售；农业技术、农药的技术开发、技术服务；货物及技术</w:t>
      </w:r>
    </w:p>
    <w:p>
      <w:pPr>
        <w:framePr w:w="9110" w:x="1798" w:y="10916"/>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进出口业务</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依法须经批准的项目</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经相关部门批准后方可开展经营活动</w:t>
      </w:r>
      <w:r>
        <w:rPr>
          <w:rFonts w:ascii="SimSun" w:eastAsiaTheme="minorEastAsia" w:hAnsiTheme="minorHAnsi" w:cstheme="minorBidi"/>
          <w:color w:val="000000"/>
          <w:sz w:val="21"/>
          <w:szCs w:val="22"/>
          <w:lang w:val="en-US" w:eastAsia="en-US" w:bidi="ar-SA"/>
        </w:rPr>
        <w:t>)</w:t>
      </w:r>
    </w:p>
    <w:p>
      <w:pPr>
        <w:framePr w:w="9216" w:x="1798" w:y="1307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4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w:t>
      </w:r>
      <w:r>
        <w:rPr>
          <w:rFonts w:ascii="SimSun" w:hAnsi="SimSun" w:eastAsiaTheme="minorEastAsia" w:cs="SimSun"/>
          <w:color w:val="000000"/>
          <w:spacing w:val="-1"/>
          <w:sz w:val="21"/>
          <w:szCs w:val="22"/>
          <w:lang w:val="en-US" w:eastAsia="en-US" w:bidi="ar-SA"/>
        </w:rPr>
        <w:t>日，经山东省发展与改革委员会批准，子公司济南先达公司和济南瑞斯</w:t>
      </w:r>
    </w:p>
    <w:p>
      <w:pPr>
        <w:framePr w:w="9216" w:x="1798" w:y="13079"/>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邦公司按照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49</w:t>
      </w:r>
      <w:r>
        <w:rPr>
          <w:rFonts w:ascii="SimSun" w:hAnsi="SimSun" w:eastAsiaTheme="minorEastAsia" w:cs="SimSun"/>
          <w:color w:val="000000"/>
          <w:spacing w:val="-97"/>
          <w:sz w:val="21"/>
          <w:szCs w:val="22"/>
          <w:lang w:val="en-US" w:eastAsia="en-US" w:bidi="ar-SA"/>
        </w:rPr>
        <w:t>：</w:t>
      </w:r>
      <w:r>
        <w:rPr>
          <w:rFonts w:ascii="SimSun" w:eastAsiaTheme="minorEastAsia" w:hAnsiTheme="minorHAnsi" w:cstheme="minorBidi"/>
          <w:color w:val="000000"/>
          <w:sz w:val="21"/>
          <w:szCs w:val="22"/>
          <w:lang w:val="en-US" w:eastAsia="en-US" w:bidi="ar-SA"/>
        </w:rPr>
        <w:t>51</w:t>
      </w:r>
      <w:r>
        <w:rPr>
          <w:rFonts w:ascii="SimSun" w:hAnsi="SimSun" w:eastAsiaTheme="minorEastAsia" w:cs="SimSun"/>
          <w:color w:val="000000"/>
          <w:spacing w:val="-3"/>
          <w:sz w:val="21"/>
          <w:szCs w:val="22"/>
          <w:lang w:val="en-US" w:eastAsia="en-US" w:bidi="ar-SA"/>
        </w:rPr>
        <w:t>的股比在印度尼西亚合资设立全资子公司印尼中农化学有限公司（</w:t>
      </w:r>
      <w:r>
        <w:rPr>
          <w:rFonts w:ascii="SimSun" w:eastAsiaTheme="minorEastAsia" w:hAnsiTheme="minorHAnsi" w:cstheme="minorBidi"/>
          <w:color w:val="000000"/>
          <w:sz w:val="21"/>
          <w:szCs w:val="22"/>
          <w:lang w:val="en-US" w:eastAsia="en-US" w:bidi="ar-SA"/>
        </w:rPr>
        <w:t>PT.SINOAGRO</w:t>
      </w:r>
    </w:p>
    <w:p>
      <w:pPr>
        <w:framePr w:w="9216" w:x="1798" w:y="130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CHEMICAL</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INDONESIA</w:t>
      </w:r>
      <w:r>
        <w:rPr>
          <w:rFonts w:ascii="SimSun" w:hAnsi="SimSun" w:eastAsiaTheme="minorEastAsia" w:cs="SimSun"/>
          <w:color w:val="000000"/>
          <w:sz w:val="21"/>
          <w:szCs w:val="22"/>
          <w:lang w:val="en-US" w:eastAsia="en-US" w:bidi="ar-SA"/>
        </w:rPr>
        <w:t>）。注册资本为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125</w:t>
      </w:r>
      <w:r>
        <w:rPr>
          <w:rFonts w:ascii="SimSun" w:hAnsi="SimSun" w:eastAsiaTheme="minorEastAsia" w:cs="SimSun"/>
          <w:color w:val="000000"/>
          <w:sz w:val="21"/>
          <w:szCs w:val="22"/>
          <w:lang w:val="en-US" w:eastAsia="en-US" w:bidi="ar-SA"/>
        </w:rPr>
        <w:t>万元人民币，公司类型：有限责任公司，所属行业：批</w:t>
      </w:r>
    </w:p>
    <w:p>
      <w:pPr>
        <w:framePr w:w="9216" w:x="1798" w:y="130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发零售业，企业地址：印度尼西亚爪哇省勿加西，经营范围：化肥、农用化学品（农药）贸易。</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35" type="#_x0000_t75" style="width:445.6pt;height:2.7pt;margin-top:53.65pt;margin-left:87.45pt;mso-position-horizontal-relative:page;mso-position-vertical-relative:page;position:absolute;z-index:-25148006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75" w:name="br1_174"/>
      <w:bookmarkEnd w:id="17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07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w:t>
      </w:r>
      <w:r>
        <w:rPr>
          <w:rFonts w:ascii="SimSun" w:hAnsi="SimSun" w:eastAsiaTheme="minorEastAsia" w:cs="SimSun"/>
          <w:color w:val="000000"/>
          <w:sz w:val="21"/>
          <w:szCs w:val="22"/>
          <w:lang w:val="en-US" w:eastAsia="en-US" w:bidi="ar-SA"/>
        </w:rPr>
        <w:t>日，经山东省发展与改革委员会批准，子公司潍坊先达公司与济南瑞斯</w:t>
      </w:r>
    </w:p>
    <w:p>
      <w:pPr>
        <w:framePr w:w="9078" w:x="1798" w:y="1535"/>
        <w:widowControl w:val="0"/>
        <w:autoSpaceDE w:val="0"/>
        <w:autoSpaceDN w:val="0"/>
        <w:spacing w:before="20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邦公司按照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90</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的股比在巴西合资设立全资子公司巴西光华农化有限公司（</w:t>
      </w:r>
      <w:r>
        <w:rPr>
          <w:rFonts w:ascii="SimSun" w:eastAsiaTheme="minorEastAsia" w:hAnsiTheme="minorHAnsi" w:cstheme="minorBidi"/>
          <w:color w:val="000000"/>
          <w:sz w:val="21"/>
          <w:szCs w:val="22"/>
          <w:lang w:val="en-US" w:eastAsia="en-US" w:bidi="ar-SA"/>
        </w:rPr>
        <w:t>BRILLIANCE</w:t>
      </w:r>
    </w:p>
    <w:p>
      <w:pPr>
        <w:framePr w:w="9078"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PRODUTOS</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AGRICOLAS</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LTDA</w:t>
      </w:r>
      <w:r>
        <w:rPr>
          <w:rFonts w:ascii="SimSun" w:hAnsi="SimSun" w:eastAsiaTheme="minorEastAsia" w:cs="SimSun"/>
          <w:color w:val="000000"/>
          <w:sz w:val="21"/>
          <w:szCs w:val="22"/>
          <w:lang w:val="en-US" w:eastAsia="en-US" w:bidi="ar-SA"/>
        </w:rPr>
        <w:t>）。注册资本为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8</w:t>
      </w:r>
      <w:r>
        <w:rPr>
          <w:rFonts w:ascii="SimSun" w:hAnsi="SimSun" w:eastAsiaTheme="minorEastAsia" w:cs="SimSun"/>
          <w:color w:val="000000"/>
          <w:sz w:val="21"/>
          <w:szCs w:val="22"/>
          <w:lang w:val="en-US" w:eastAsia="en-US" w:bidi="ar-SA"/>
        </w:rPr>
        <w:t>万美金，公司类型：有限责任公司，所属行业：批发</w:t>
      </w:r>
    </w:p>
    <w:p>
      <w:pPr>
        <w:framePr w:w="9078"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零售，企业地址：巴西圣保罗市，经营范围：农药、化肥和土壤改良剂的批发贸易</w:t>
      </w:r>
    </w:p>
    <w:p>
      <w:pPr>
        <w:framePr w:w="1082" w:x="1798" w:y="3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36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36" type="#_x0000_t75" style="width:445.6pt;height:2.7pt;margin-top:53.65pt;margin-left:87.45pt;mso-position-horizontal-relative:page;mso-position-vertical-relative:page;position:absolute;z-index:-25147904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76" w:name="br1_175"/>
      <w:bookmarkEnd w:id="17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566" w:x="1798" w:y="16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九、在其他主体中的权益</w:t>
      </w:r>
    </w:p>
    <w:p>
      <w:pPr>
        <w:framePr w:w="2566" w:x="1798" w:y="1656"/>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在子公司中的权益</w:t>
      </w:r>
    </w:p>
    <w:p>
      <w:pPr>
        <w:framePr w:w="2566" w:x="1798" w:y="165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企业集团的构成</w:t>
      </w:r>
    </w:p>
    <w:p>
      <w:pPr>
        <w:framePr w:w="2566" w:x="1798" w:y="165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74" w:x="770" w:y="37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子公司</w:t>
      </w:r>
    </w:p>
    <w:p>
      <w:pPr>
        <w:framePr w:w="874" w:x="770" w:y="3789"/>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402" w:x="8454" w:y="37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持股比例</w:t>
      </w:r>
      <w:r>
        <w:rPr>
          <w:rFonts w:ascii="SimSun" w:eastAsiaTheme="minorEastAsia" w:hAnsiTheme="minorHAnsi" w:cstheme="minorBidi"/>
          <w:color w:val="000000"/>
          <w:spacing w:val="-1"/>
          <w:sz w:val="21"/>
          <w:szCs w:val="22"/>
          <w:lang w:val="en-US" w:eastAsia="en-US" w:bidi="ar-SA"/>
        </w:rPr>
        <w:t>(%)</w:t>
      </w:r>
    </w:p>
    <w:p>
      <w:pPr>
        <w:framePr w:w="662" w:x="10524" w:y="37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取得</w:t>
      </w:r>
    </w:p>
    <w:p>
      <w:pPr>
        <w:framePr w:w="662" w:x="10524" w:y="378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方式</w:t>
      </w:r>
    </w:p>
    <w:p>
      <w:pPr>
        <w:framePr w:w="1296" w:x="2333" w:y="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主要经营地</w:t>
      </w:r>
    </w:p>
    <w:p>
      <w:pPr>
        <w:framePr w:w="874" w:x="4674" w:y="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注册地</w:t>
      </w:r>
    </w:p>
    <w:p>
      <w:pPr>
        <w:framePr w:w="1085" w:x="6697" w:y="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业务性质</w:t>
      </w:r>
    </w:p>
    <w:p>
      <w:pPr>
        <w:framePr w:w="662" w:x="8397" w:y="40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直接</w:t>
      </w:r>
    </w:p>
    <w:p>
      <w:pPr>
        <w:framePr w:w="662" w:x="9249" w:y="40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间接</w:t>
      </w:r>
    </w:p>
    <w:p>
      <w:pPr>
        <w:framePr w:w="1296" w:x="487" w:y="4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w:t>
      </w:r>
    </w:p>
    <w:p>
      <w:pPr>
        <w:framePr w:w="1296" w:x="487" w:y="435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w:t>
      </w:r>
    </w:p>
    <w:p>
      <w:pPr>
        <w:framePr w:w="1296" w:x="487" w:y="435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w:t>
      </w:r>
    </w:p>
    <w:p>
      <w:pPr>
        <w:framePr w:w="1296" w:x="487" w:y="4351"/>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济南瑞斯邦</w:t>
      </w:r>
    </w:p>
    <w:p>
      <w:pPr>
        <w:framePr w:w="1296" w:x="487" w:y="435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博兴县盛信</w:t>
      </w:r>
    </w:p>
    <w:p>
      <w:pPr>
        <w:framePr w:w="1296" w:x="487" w:y="435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w:t>
      </w:r>
    </w:p>
    <w:p>
      <w:pPr>
        <w:framePr w:w="5761" w:x="1904" w:y="4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潍坊滨海经济开发区</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z w:val="21"/>
          <w:szCs w:val="22"/>
          <w:lang w:val="en-US" w:eastAsia="en-US" w:bidi="ar-SA"/>
        </w:rPr>
        <w:t>潍坊滨海经济开发区</w:t>
      </w:r>
      <w:r>
        <w:rPr>
          <w:rFonts w:eastAsiaTheme="minorEastAsia" w:hAnsiTheme="minorHAnsi" w:cstheme="minorBidi"/>
          <w:color w:val="000000"/>
          <w:spacing w:val="183"/>
          <w:sz w:val="21"/>
          <w:szCs w:val="22"/>
          <w:lang w:val="en-US" w:eastAsia="en-US" w:bidi="ar-SA"/>
        </w:rPr>
        <w:t xml:space="preserve"> </w:t>
      </w:r>
      <w:r>
        <w:rPr>
          <w:rFonts w:ascii="SimSun" w:hAnsi="SimSun" w:eastAsiaTheme="minorEastAsia" w:cs="SimSun"/>
          <w:color w:val="000000"/>
          <w:sz w:val="21"/>
          <w:szCs w:val="22"/>
          <w:lang w:val="en-US" w:eastAsia="en-US" w:bidi="ar-SA"/>
        </w:rPr>
        <w:t>化学农药制造</w:t>
      </w:r>
    </w:p>
    <w:p>
      <w:pPr>
        <w:framePr w:w="874" w:x="8293" w:y="43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1718" w:x="9993" w:y="4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同一控制下合并</w:t>
      </w:r>
    </w:p>
    <w:p>
      <w:pPr>
        <w:framePr w:w="1718" w:x="9993" w:y="435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同一控制下合并</w:t>
      </w:r>
    </w:p>
    <w:p>
      <w:pPr>
        <w:framePr w:w="1718" w:x="9993" w:y="435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1930" w:x="1904" w:y="46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济南市高新开发区</w:t>
      </w:r>
    </w:p>
    <w:p>
      <w:pPr>
        <w:framePr w:w="1930" w:x="1904" w:y="463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葫芦岛经济开发区</w:t>
      </w:r>
    </w:p>
    <w:p>
      <w:pPr>
        <w:framePr w:w="1930" w:x="1904" w:y="4634"/>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济南市高新开发区</w:t>
      </w:r>
    </w:p>
    <w:p>
      <w:pPr>
        <w:framePr w:w="1930" w:x="1904" w:y="463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滨州市博兴县</w:t>
      </w:r>
    </w:p>
    <w:p>
      <w:pPr>
        <w:framePr w:w="1930" w:x="4033" w:y="46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济南市高新开发区</w:t>
      </w:r>
    </w:p>
    <w:p>
      <w:pPr>
        <w:framePr w:w="1930" w:x="4033" w:y="463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葫芦岛经济开发区</w:t>
      </w:r>
    </w:p>
    <w:p>
      <w:pPr>
        <w:framePr w:w="1930" w:x="4033" w:y="4634"/>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济南市高新开发区</w:t>
      </w:r>
    </w:p>
    <w:p>
      <w:pPr>
        <w:framePr w:w="1930" w:x="4033" w:y="463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滨州市博兴县</w:t>
      </w:r>
    </w:p>
    <w:p>
      <w:pPr>
        <w:framePr w:w="3005" w:x="6162" w:y="46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化学农药研发、销售</w:t>
      </w:r>
      <w:r>
        <w:rPr>
          <w:rFonts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100.00</w:t>
      </w:r>
    </w:p>
    <w:p>
      <w:pPr>
        <w:framePr w:w="1507" w:x="6162" w:y="49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化学农药制造</w:t>
      </w:r>
    </w:p>
    <w:p>
      <w:pPr>
        <w:framePr w:w="1507" w:x="6162" w:y="4915"/>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p>
    <w:p>
      <w:pPr>
        <w:framePr w:w="874" w:x="8293" w:y="49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874" w:x="8293" w:y="4915"/>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662" w:x="9993" w:y="51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3005" w:x="6162" w:y="54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科学研究和技术服务</w:t>
      </w:r>
      <w:r>
        <w:rPr>
          <w:rFonts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100.00</w:t>
      </w:r>
    </w:p>
    <w:p>
      <w:pPr>
        <w:framePr w:w="662" w:x="9993" w:y="54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1085" w:x="487" w:y="6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w:t>
      </w:r>
    </w:p>
    <w:p>
      <w:pPr>
        <w:framePr w:w="1085" w:x="487" w:y="603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w:t>
      </w:r>
    </w:p>
    <w:p>
      <w:pPr>
        <w:framePr w:w="1085" w:x="487" w:y="603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w:t>
      </w:r>
    </w:p>
    <w:p>
      <w:pPr>
        <w:framePr w:w="1085" w:x="487" w:y="603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印尼中农</w:t>
      </w:r>
    </w:p>
    <w:p>
      <w:pPr>
        <w:framePr w:w="1085" w:x="487" w:y="603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巴西光华</w:t>
      </w:r>
    </w:p>
    <w:p>
      <w:pPr>
        <w:framePr w:w="662" w:x="1904" w:y="6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沈阳</w:t>
      </w:r>
    </w:p>
    <w:p>
      <w:pPr>
        <w:framePr w:w="662" w:x="4033" w:y="6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沈阳</w:t>
      </w:r>
    </w:p>
    <w:p>
      <w:pPr>
        <w:framePr w:w="1296" w:x="6162" w:y="6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p>
    <w:p>
      <w:pPr>
        <w:framePr w:w="1296" w:x="6162" w:y="603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p>
    <w:p>
      <w:pPr>
        <w:framePr w:w="1510" w:x="9146" w:y="60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设立</w:t>
      </w:r>
    </w:p>
    <w:p>
      <w:pPr>
        <w:framePr w:w="1510" w:x="9146" w:y="603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设立</w:t>
      </w:r>
    </w:p>
    <w:p>
      <w:pPr>
        <w:framePr w:w="1510" w:x="9146" w:y="6036"/>
        <w:widowControl w:val="0"/>
        <w:autoSpaceDE w:val="0"/>
        <w:autoSpaceDN w:val="0"/>
        <w:spacing w:before="72" w:line="211" w:lineRule="exact"/>
        <w:ind w:left="84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662" w:x="1904" w:y="6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沈阳</w:t>
      </w:r>
    </w:p>
    <w:p>
      <w:pPr>
        <w:framePr w:w="662" w:x="4033" w:y="6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沈阳</w:t>
      </w:r>
    </w:p>
    <w:p>
      <w:pPr>
        <w:framePr w:w="662" w:x="1904" w:y="66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香港</w:t>
      </w:r>
    </w:p>
    <w:p>
      <w:pPr>
        <w:framePr w:w="662" w:x="4033" w:y="66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香港</w:t>
      </w:r>
    </w:p>
    <w:p>
      <w:pPr>
        <w:framePr w:w="1296" w:x="6162" w:y="66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p>
    <w:p>
      <w:pPr>
        <w:framePr w:w="1296" w:x="6162" w:y="660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p>
    <w:p>
      <w:pPr>
        <w:framePr w:w="1296" w:x="6162" w:y="660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p>
    <w:p>
      <w:pPr>
        <w:framePr w:w="874" w:x="8293" w:y="66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1296" w:x="1904" w:y="68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印度尼西亚</w:t>
      </w:r>
    </w:p>
    <w:p>
      <w:pPr>
        <w:framePr w:w="1296" w:x="1904" w:y="68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巴西</w:t>
      </w:r>
    </w:p>
    <w:p>
      <w:pPr>
        <w:framePr w:w="1296" w:x="4033" w:y="68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印度尼西亚</w:t>
      </w:r>
    </w:p>
    <w:p>
      <w:pPr>
        <w:framePr w:w="1296" w:x="4033" w:y="68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巴西</w:t>
      </w:r>
    </w:p>
    <w:p>
      <w:pPr>
        <w:framePr w:w="1510" w:x="9146" w:y="68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设立</w:t>
      </w:r>
    </w:p>
    <w:p>
      <w:pPr>
        <w:framePr w:w="1510" w:x="9146" w:y="688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设立</w:t>
      </w:r>
    </w:p>
    <w:p>
      <w:pPr>
        <w:framePr w:w="4675" w:x="1798" w:y="7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在子公司的持股比例不同于表决权比例的说明：</w:t>
      </w:r>
    </w:p>
    <w:p>
      <w:pPr>
        <w:framePr w:w="4675" w:x="1798" w:y="756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110" w:x="1798" w:y="86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持有半数或以下表决权但仍控制被投资单位、以及持有半数以上表决权但不控制被投资单位的依</w:t>
      </w:r>
    </w:p>
    <w:p>
      <w:pPr>
        <w:framePr w:w="9110" w:x="1798" w:y="8623"/>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据：</w:t>
      </w:r>
    </w:p>
    <w:p>
      <w:pPr>
        <w:framePr w:w="451" w:x="1798" w:y="95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5309" w:x="1798" w:y="100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对于纳入合并范围的重要的结构化主体，控制的依据：</w:t>
      </w:r>
    </w:p>
    <w:p>
      <w:pPr>
        <w:framePr w:w="451" w:x="1798" w:y="106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830" w:x="1798" w:y="111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确定公司是代理人还是委托人的依据：</w:t>
      </w:r>
    </w:p>
    <w:p>
      <w:pPr>
        <w:framePr w:w="451" w:x="1798" w:y="116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296" w:x="1798" w:y="122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127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830" w:x="1798" w:y="132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重要的非全资子公司</w:t>
      </w:r>
    </w:p>
    <w:p>
      <w:pPr>
        <w:framePr w:w="3830" w:x="1798" w:y="1326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1326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重要非全资子公司的主要财务信息</w:t>
      </w:r>
    </w:p>
    <w:p>
      <w:pPr>
        <w:framePr w:w="3830" w:x="1798" w:y="1326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37" type="#_x0000_t75" style="width:445.6pt;height:2.7pt;margin-top:53.65pt;margin-left:87.45pt;mso-position-horizontal-relative:page;mso-position-vertical-relative:page;position:absolute;z-index:-251338752">
            <v:imagedata r:id="rId350" o:title=""/>
          </v:shape>
        </w:pict>
      </w:r>
      <w:r>
        <w:rPr>
          <w:noProof/>
        </w:rPr>
        <w:pict>
          <v:shape id="_x0000_s1438" type="#_x0000_t75" style="width:562.5pt;height:185.85pt;margin-top:186pt;margin-left:17.7pt;mso-position-horizontal-relative:page;mso-position-vertical-relative:page;position:absolute;z-index:-251478016">
            <v:imagedata r:id="rId351" o:title=""/>
          </v:shape>
        </w:pict>
      </w:r>
    </w:p>
    <w:p>
      <w:pPr>
        <w:spacing w:line="0" w:lineRule="atLeast"/>
        <w:rPr>
          <w:rFonts w:ascii="Arial" w:eastAsiaTheme="minorEastAsia" w:hAnsiTheme="minorHAnsi" w:cstheme="minorBidi"/>
          <w:color w:val="FF0000"/>
          <w:sz w:val="2"/>
          <w:szCs w:val="22"/>
          <w:lang w:val="en-US" w:eastAsia="en-US" w:bidi="ar-SA"/>
        </w:rPr>
      </w:pPr>
      <w:bookmarkStart w:id="177" w:name="br1_176"/>
      <w:bookmarkEnd w:id="17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530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使用企业集团资产和清偿企业集团债务的重大限制</w:t>
      </w:r>
    </w:p>
    <w:p>
      <w:pPr>
        <w:framePr w:w="5309"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787"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向纳入合并财务报表范围的结构化主体提供的财务支持或其他支持</w:t>
      </w:r>
    </w:p>
    <w:p>
      <w:pPr>
        <w:framePr w:w="6787"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142"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在子公司的所有者权益份额发生变化且仍控制子公司的交易</w:t>
      </w:r>
    </w:p>
    <w:p>
      <w:pPr>
        <w:framePr w:w="6142" w:x="1798" w:y="47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2"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在合营企业或联营企业中的权益</w:t>
      </w:r>
    </w:p>
    <w:p>
      <w:pPr>
        <w:framePr w:w="3612"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38" w:x="1798" w:y="6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重要的共同经营</w:t>
      </w:r>
    </w:p>
    <w:p>
      <w:pPr>
        <w:framePr w:w="1817" w:x="1798" w:y="7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299" w:x="1798" w:y="7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在未纳入合并财务报表范围的结构化主体中的权益</w:t>
      </w:r>
    </w:p>
    <w:p>
      <w:pPr>
        <w:framePr w:w="5299"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未纳入合并财务报表范围的结构化主体的相关说明：</w:t>
      </w:r>
    </w:p>
    <w:p>
      <w:pPr>
        <w:framePr w:w="5299"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2" w:x="1798" w:y="94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105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十、与金融工具相关的风险</w:t>
      </w:r>
    </w:p>
    <w:p>
      <w:pPr>
        <w:framePr w:w="2774" w:x="1798" w:y="105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1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本公司的主要金融工具包括货币资金、股权投资、借款、应收款项、应付款项。在日常活动</w:t>
      </w:r>
    </w:p>
    <w:p>
      <w:pPr>
        <w:framePr w:w="9110" w:x="1798" w:y="11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中面临各种金融工具的风险，主要包括信用风险、流动性风险、市场风险。与这些金融工具相关</w:t>
      </w:r>
    </w:p>
    <w:p>
      <w:pPr>
        <w:framePr w:w="9110" w:x="1798" w:y="11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的风险，以及本公司为降低这些风险所采取的风险管理政策如下所述：</w:t>
      </w:r>
    </w:p>
    <w:p>
      <w:pPr>
        <w:framePr w:w="9110" w:x="1798" w:y="1280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董事会负责规划并建立本公司的风险管理架构，制定本公司的风险管理政策和相关指引并监</w:t>
      </w:r>
    </w:p>
    <w:p>
      <w:pPr>
        <w:framePr w:w="9110" w:x="1798" w:y="1280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督风险管理措施的执行情况。本公司已制定风险管理政策以识别和分析本公司所面临的风险，这</w:t>
      </w:r>
    </w:p>
    <w:p>
      <w:pPr>
        <w:framePr w:w="9110" w:x="1798" w:y="1280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些风险管理政策对特定风险进行了明确规定，涵盖了市场风险、信用风险和流动性风险管理等诸</w:t>
      </w:r>
    </w:p>
    <w:p>
      <w:pPr>
        <w:framePr w:w="9110" w:x="1798" w:y="1280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多方面。本公司定期评估市场环境及本公司经营活动的变化以决定是否对风险管理政策及系统进</w:t>
      </w:r>
    </w:p>
    <w:p>
      <w:pPr>
        <w:framePr w:w="9110" w:x="1798" w:y="1280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行更新。本公司的风险管理由风险管理委员会按照董事会批准的政策开展。风险管理委员会通过</w:t>
      </w:r>
    </w:p>
    <w:p>
      <w:pPr>
        <w:framePr w:w="9110" w:x="1798" w:y="1280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与本公司其他业务部门的紧密合作来识别、评价和规避相关风险。本公司内部审计部门就风险管</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39" type="#_x0000_t75" style="width:445.6pt;height:2.7pt;margin-top:53.65pt;margin-left:87.45pt;mso-position-horizontal-relative:page;mso-position-vertical-relative:page;position:absolute;z-index:-25147699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78" w:name="br1_177"/>
      <w:bookmarkEnd w:id="17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理控制及程序进行定期的审核，并将审核结果上报本公司的审计委员会。本公司通过适当的多样</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化投资及业务组合来分散金融工具风险，并通过制定相应的风险管理政策减少集中于单一行业、</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特定地区或特定交易对手的风险。</w:t>
      </w:r>
    </w:p>
    <w:p>
      <w:pPr>
        <w:framePr w:w="1740" w:x="2223" w:y="2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（一）信用风险</w:t>
      </w:r>
    </w:p>
    <w:p>
      <w:pPr>
        <w:framePr w:w="9076" w:x="1798" w:y="317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信用风险是指交易对手未能履行合同义务而导致本公司产生财务损失的风险，管理层已制定</w:t>
      </w:r>
    </w:p>
    <w:p>
      <w:pPr>
        <w:framePr w:w="9076" w:x="1798" w:y="317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适当的信用政策，并且不断监察信用风险的敞口。</w:t>
      </w:r>
    </w:p>
    <w:p>
      <w:pPr>
        <w:framePr w:w="9110" w:x="1798" w:y="398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本公司已采取政策只与信用良好的交易对手进行交易。另外，本公司基于对客户的财务状况、</w:t>
      </w:r>
    </w:p>
    <w:p>
      <w:pPr>
        <w:framePr w:w="9110"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从第三方获取担保的可能性、信用记录及其它因素诸如目前市场状况等评估客户的信用资质并设</w:t>
      </w:r>
    </w:p>
    <w:p>
      <w:pPr>
        <w:framePr w:w="9110"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置相应信用期。本公司对应收票据、应收账款余额及收回情况进行持续监控，对于信用记录不良</w:t>
      </w:r>
    </w:p>
    <w:p>
      <w:pPr>
        <w:framePr w:w="9110"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的客户，本公司会采用书面催款、缩短信用期或取消信用期等方式，以确保本公司不致面临重大</w:t>
      </w:r>
    </w:p>
    <w:p>
      <w:pPr>
        <w:framePr w:w="9110" w:x="1798" w:y="398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信用损失。此外，本公司于每个资产负债表日审核金融资产的回收情况，以确保相关金融资产计</w:t>
      </w:r>
    </w:p>
    <w:p>
      <w:pPr>
        <w:framePr w:w="9110"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提了充分的预期信用损失准备。</w:t>
      </w:r>
    </w:p>
    <w:p>
      <w:pPr>
        <w:framePr w:w="9110"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本公司其他金融资产包括货币资金、其他应收款等，这些金融资产的信用风险源自于交易对</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手违约，最大信用风险敞口为资产负债表中每项金融资产的账面金额。除附注十一（四）所载本</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公司对合并范围内子公司作出的财务担保外，本公司没有提供任何其他可能令本公司承受信用风</w:t>
      </w:r>
    </w:p>
    <w:p>
      <w:pPr>
        <w:framePr w:w="9110" w:x="1798" w:y="643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险的担保。</w:t>
      </w:r>
    </w:p>
    <w:p>
      <w:pPr>
        <w:framePr w:w="9322" w:x="1798" w:y="80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本公司持有的货币资金主要存放于国有控股银行和其他大中型商业银行等金融机构，管理层</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认为这些商业银行具备较高信誉和资产状况，不存在重大的信用风险，不会产生因对方单位违约</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而导致的任何重大损失。本公司的政策是根据各知名金融机构的市场信誉、经营规模及财务背景</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来控制存放当中的存款金额，以限制对任何单个金融机构的信用风险金额。</w:t>
      </w:r>
    </w:p>
    <w:p>
      <w:pPr>
        <w:framePr w:w="9322" w:x="1798" w:y="8074"/>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作为本公司信用风险资产管理的一部分，本公司利用账龄来评估应收账款和其他应收款的减</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值损失。本公司的应收账款和其他应收款涉及大量客户，账龄信息可以反映这些客户对于应收账</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款和其他应收款的偿付能力和坏账风险。本公司根据历史数据计算不同账龄期间的历史实际坏账</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率，并考虑了当前及未来经济状况的预测，如国家</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GDP</w:t>
      </w:r>
      <w:r>
        <w:rPr>
          <w:rFonts w:ascii="SimSun" w:hAnsi="SimSun" w:eastAsiaTheme="minorEastAsia" w:cs="SimSun"/>
          <w:color w:val="000000"/>
          <w:sz w:val="21"/>
          <w:szCs w:val="22"/>
          <w:lang w:val="en-US" w:eastAsia="en-US" w:bidi="ar-SA"/>
        </w:rPr>
        <w:t>增速、基建投资总额、国家货币政策等前</w:t>
      </w:r>
    </w:p>
    <w:p>
      <w:pPr>
        <w:framePr w:w="9322" w:x="1798" w:y="807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瞻性信息进行调整得出预期损失率。对于长期应收款，本公司综合考虑结算期、合同约定付款期、</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债务人的财务状况和债务人所处行业的经济形势，并考虑上述前瞻性信息进行调整后对于预期信</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用损失进行合理评估。</w:t>
      </w:r>
    </w:p>
    <w:p>
      <w:pPr>
        <w:framePr w:w="7490" w:x="2218" w:y="12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日，相关资产的账面余额与预期信用减值损失情况如下：</w:t>
      </w:r>
    </w:p>
    <w:p>
      <w:pPr>
        <w:framePr w:w="600" w:x="3082" w:y="1305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账龄</w:t>
      </w:r>
    </w:p>
    <w:p>
      <w:pPr>
        <w:framePr w:w="960" w:x="5787" w:y="1305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账面余额</w:t>
      </w:r>
    </w:p>
    <w:p>
      <w:pPr>
        <w:framePr w:w="960" w:x="8370" w:y="1305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减值准备</w:t>
      </w:r>
    </w:p>
    <w:p>
      <w:pPr>
        <w:framePr w:w="1140" w:x="1798" w:y="1340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应收票据</w:t>
      </w:r>
    </w:p>
    <w:p>
      <w:pPr>
        <w:framePr w:w="1140" w:x="1798" w:y="13406"/>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应收账款</w:t>
      </w:r>
    </w:p>
    <w:p>
      <w:pPr>
        <w:framePr w:w="1140" w:x="1798" w:y="13406"/>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其他应收款</w:t>
      </w:r>
    </w:p>
    <w:p>
      <w:pPr>
        <w:framePr w:w="1500" w:x="6092" w:y="137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219,515,166.02</w:t>
      </w:r>
    </w:p>
    <w:p>
      <w:pPr>
        <w:framePr w:w="1410" w:x="8723" w:y="137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11,767,588.99</w:t>
      </w:r>
    </w:p>
    <w:p>
      <w:pPr>
        <w:framePr w:w="1500" w:x="6092" w:y="14107"/>
        <w:widowControl w:val="0"/>
        <w:autoSpaceDE w:val="0"/>
        <w:autoSpaceDN w:val="0"/>
        <w:spacing w:line="180" w:lineRule="exact"/>
        <w:ind w:left="89"/>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15,364,636.99</w:t>
      </w:r>
    </w:p>
    <w:p>
      <w:pPr>
        <w:framePr w:w="1500" w:x="6092" w:y="14107"/>
        <w:widowControl w:val="0"/>
        <w:autoSpaceDE w:val="0"/>
        <w:autoSpaceDN w:val="0"/>
        <w:spacing w:before="16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234,879,803.01</w:t>
      </w:r>
    </w:p>
    <w:p>
      <w:pPr>
        <w:framePr w:w="1140" w:x="8992" w:y="1410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838,808.33</w:t>
      </w:r>
    </w:p>
    <w:p>
      <w:pPr>
        <w:framePr w:w="600" w:x="3082" w:y="1445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合计</w:t>
      </w:r>
    </w:p>
    <w:p>
      <w:pPr>
        <w:framePr w:w="1411" w:x="8723" w:y="1445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12,606,397.32</w:t>
      </w:r>
    </w:p>
    <w:p>
      <w:pPr>
        <w:framePr w:w="5178" w:x="2218" w:y="148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日，本公司未对外提供财务担保。</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40" type="#_x0000_t75" style="width:445.6pt;height:2.7pt;margin-top:53.65pt;margin-left:87.45pt;mso-position-horizontal-relative:page;mso-position-vertical-relative:page;position:absolute;z-index:-251337728">
            <v:imagedata r:id="rId352" o:title=""/>
          </v:shape>
        </w:pict>
      </w:r>
      <w:r>
        <w:rPr>
          <w:noProof/>
        </w:rPr>
        <w:pict>
          <v:shape id="_x0000_s1441" type="#_x0000_t75" style="width:418.35pt;height:92pt;margin-top:646.3pt;margin-left:82.8pt;mso-position-horizontal-relative:page;mso-position-vertical-relative:page;position:absolute;z-index:-251475968">
            <v:imagedata r:id="rId353" o:title=""/>
          </v:shape>
        </w:pict>
      </w:r>
    </w:p>
    <w:p>
      <w:pPr>
        <w:spacing w:line="0" w:lineRule="atLeast"/>
        <w:rPr>
          <w:rFonts w:ascii="Arial" w:eastAsiaTheme="minorEastAsia" w:hAnsiTheme="minorHAnsi" w:cstheme="minorBidi"/>
          <w:color w:val="FF0000"/>
          <w:sz w:val="2"/>
          <w:szCs w:val="22"/>
          <w:lang w:val="en-US" w:eastAsia="en-US" w:bidi="ar-SA"/>
        </w:rPr>
      </w:pPr>
      <w:bookmarkStart w:id="179" w:name="br1_178"/>
      <w:bookmarkEnd w:id="17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07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本公司的主要客户为国内外农药厂商等，该等客户具有可靠及良好的信誉，因此，本公司认</w:t>
      </w:r>
    </w:p>
    <w:p>
      <w:pPr>
        <w:framePr w:w="907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为该等客户并无重大信用风险。由于本公司的客户广泛，因此没有重大的信用集中风险。</w:t>
      </w:r>
    </w:p>
    <w:p>
      <w:pPr>
        <w:framePr w:w="9078" w:x="1798" w:y="1535"/>
        <w:widowControl w:val="0"/>
        <w:autoSpaceDE w:val="0"/>
        <w:autoSpaceDN w:val="0"/>
        <w:spacing w:before="197"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pacing w:val="-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pacing w:val="-4"/>
          <w:sz w:val="21"/>
          <w:szCs w:val="22"/>
          <w:lang w:val="en-US" w:eastAsia="en-US" w:bidi="ar-SA"/>
        </w:rPr>
        <w:t>日，本公司的前五大客户的应收账款占本公司应收账款总额</w:t>
      </w:r>
      <w:r>
        <w:rPr>
          <w:rFonts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33.69%(2019</w:t>
      </w:r>
    </w:p>
    <w:p>
      <w:pPr>
        <w:framePr w:w="9078"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z w:val="21"/>
          <w:szCs w:val="22"/>
          <w:lang w:val="en-US" w:eastAsia="en-US" w:bidi="ar-SA"/>
        </w:rPr>
        <w:t>41.33%)</w:t>
      </w:r>
      <w:r>
        <w:rPr>
          <w:rFonts w:ascii="SimSun" w:hAnsi="SimSun" w:eastAsiaTheme="minorEastAsia" w:cs="SimSun"/>
          <w:color w:val="000000"/>
          <w:sz w:val="21"/>
          <w:szCs w:val="22"/>
          <w:lang w:val="en-US" w:eastAsia="en-US" w:bidi="ar-SA"/>
        </w:rPr>
        <w:t>。</w:t>
      </w:r>
    </w:p>
    <w:p>
      <w:pPr>
        <w:framePr w:w="1951" w:x="2223" w:y="3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（二）流动性风险</w:t>
      </w:r>
    </w:p>
    <w:p>
      <w:pPr>
        <w:framePr w:w="9322" w:x="1798" w:y="36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流动性风险是指本公司在履行以交付现金或其他金融资产的方式结算的义务时发生资金短缺</w:t>
      </w:r>
    </w:p>
    <w:p>
      <w:pPr>
        <w:framePr w:w="9322" w:x="1798" w:y="36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的风险。本公司下属成员企业各自负责其现金流量预测。公司下属财务部门基于各成员企业的现</w:t>
      </w:r>
    </w:p>
    <w:p>
      <w:pPr>
        <w:framePr w:w="9322" w:x="1798" w:y="36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金流量预测结果，在公司层面持续监控公司短期和长期的资金需求，以确保维持充裕的现金储备；</w:t>
      </w:r>
    </w:p>
    <w:p>
      <w:pPr>
        <w:framePr w:w="9322" w:x="1798" w:y="36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同时持续监控是否符合借款协议的规定，从主要金融机构获得提供足够备用资金的承诺，以满足</w:t>
      </w:r>
    </w:p>
    <w:p>
      <w:pPr>
        <w:framePr w:w="9322" w:x="1798" w:y="36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短期和长期的资金需求。此外，本公司与主要业务往来银行订立融资额度授信协议，为本公司履</w:t>
      </w:r>
    </w:p>
    <w:p>
      <w:pPr>
        <w:framePr w:w="9322" w:x="1798" w:y="36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行与商业票据相关的义务提供支持。</w:t>
      </w:r>
    </w:p>
    <w:p>
      <w:pPr>
        <w:framePr w:w="9078" w:x="1798" w:y="615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pacing w:val="-3"/>
          <w:sz w:val="21"/>
          <w:szCs w:val="22"/>
          <w:lang w:val="en-US" w:eastAsia="en-US" w:bidi="ar-SA"/>
        </w:rPr>
        <w:t>日，本公司金融负债和表外担保项目以未折现的合同现金流量按合同剩</w:t>
      </w:r>
    </w:p>
    <w:p>
      <w:pPr>
        <w:framePr w:w="9078" w:x="1798" w:y="615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余期限列示如下：</w:t>
      </w:r>
    </w:p>
    <w:p>
      <w:pPr>
        <w:framePr w:w="830" w:x="6705" w:y="7062"/>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z w:val="15"/>
          <w:szCs w:val="22"/>
          <w:lang w:val="en-US" w:eastAsia="en-US" w:bidi="ar-SA"/>
        </w:rPr>
        <w:t>期末余额</w:t>
      </w:r>
    </w:p>
    <w:p>
      <w:pPr>
        <w:framePr w:w="527" w:x="2391" w:y="7237"/>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pacing w:val="1"/>
          <w:sz w:val="15"/>
          <w:szCs w:val="22"/>
          <w:lang w:val="en-US" w:eastAsia="en-US" w:bidi="ar-SA"/>
        </w:rPr>
        <w:t>项目</w:t>
      </w:r>
    </w:p>
    <w:p>
      <w:pPr>
        <w:framePr w:w="830" w:x="3516" w:y="7413"/>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z w:val="15"/>
          <w:szCs w:val="22"/>
          <w:lang w:val="en-US" w:eastAsia="en-US" w:bidi="ar-SA"/>
        </w:rPr>
        <w:t>即时偿还</w:t>
      </w:r>
    </w:p>
    <w:p>
      <w:pPr>
        <w:framePr w:w="940" w:x="4424" w:y="7413"/>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38"/>
          <w:sz w:val="15"/>
          <w:szCs w:val="22"/>
          <w:lang w:val="en-US" w:eastAsia="en-US" w:bidi="ar-SA"/>
        </w:rPr>
        <w:t>1</w:t>
      </w:r>
      <w:r>
        <w:rPr>
          <w:rFonts w:ascii="SimSun" w:hAnsi="SimSun" w:eastAsiaTheme="minorEastAsia" w:cs="SimSun"/>
          <w:color w:val="000000"/>
          <w:sz w:val="15"/>
          <w:szCs w:val="22"/>
          <w:lang w:val="en-US" w:eastAsia="en-US" w:bidi="ar-SA"/>
        </w:rPr>
        <w:t>个月以内</w:t>
      </w:r>
    </w:p>
    <w:p>
      <w:pPr>
        <w:framePr w:w="789" w:x="5449" w:y="7413"/>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1-3</w:t>
      </w:r>
      <w:r>
        <w:rPr>
          <w:rFonts w:ascii="SimSun" w:hAnsi="SimSun" w:eastAsiaTheme="minorEastAsia" w:cs="SimSun"/>
          <w:color w:val="000000"/>
          <w:spacing w:val="-1"/>
          <w:sz w:val="15"/>
          <w:szCs w:val="22"/>
          <w:lang w:val="en-US" w:eastAsia="en-US" w:bidi="ar-SA"/>
        </w:rPr>
        <w:t>个月</w:t>
      </w:r>
    </w:p>
    <w:p>
      <w:pPr>
        <w:framePr w:w="979" w:x="6460" w:y="7413"/>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38"/>
          <w:sz w:val="15"/>
          <w:szCs w:val="22"/>
          <w:lang w:val="en-US" w:eastAsia="en-US" w:bidi="ar-SA"/>
        </w:rPr>
        <w:t>3</w:t>
      </w:r>
      <w:r>
        <w:rPr>
          <w:rFonts w:ascii="SimSun" w:hAnsi="SimSun" w:eastAsiaTheme="minorEastAsia" w:cs="SimSun"/>
          <w:color w:val="000000"/>
          <w:sz w:val="15"/>
          <w:szCs w:val="22"/>
          <w:lang w:val="en-US" w:eastAsia="en-US" w:bidi="ar-SA"/>
        </w:rPr>
        <w:t>个月</w:t>
      </w:r>
      <w:r>
        <w:rPr>
          <w:rFonts w:ascii="SimSun" w:eastAsiaTheme="minorEastAsia" w:hAnsiTheme="minorHAnsi" w:cstheme="minorBidi"/>
          <w:color w:val="000000"/>
          <w:sz w:val="15"/>
          <w:szCs w:val="22"/>
          <w:lang w:val="en-US" w:eastAsia="en-US" w:bidi="ar-SA"/>
        </w:rPr>
        <w:t>-1</w:t>
      </w:r>
      <w:r>
        <w:rPr>
          <w:rFonts w:ascii="SimSun" w:hAnsi="SimSun" w:eastAsiaTheme="minorEastAsia" w:cs="SimSun"/>
          <w:color w:val="000000"/>
          <w:sz w:val="15"/>
          <w:szCs w:val="22"/>
          <w:lang w:val="en-US" w:eastAsia="en-US" w:bidi="ar-SA"/>
        </w:rPr>
        <w:t>年</w:t>
      </w:r>
    </w:p>
    <w:p>
      <w:pPr>
        <w:framePr w:w="640" w:x="7876" w:y="7413"/>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1-5</w:t>
      </w:r>
      <w:r>
        <w:rPr>
          <w:rFonts w:ascii="SimSun" w:hAnsi="SimSun" w:eastAsiaTheme="minorEastAsia" w:cs="SimSun"/>
          <w:color w:val="000000"/>
          <w:sz w:val="15"/>
          <w:szCs w:val="22"/>
          <w:lang w:val="en-US" w:eastAsia="en-US" w:bidi="ar-SA"/>
        </w:rPr>
        <w:t>年</w:t>
      </w:r>
    </w:p>
    <w:p>
      <w:pPr>
        <w:framePr w:w="790" w:x="8769" w:y="7413"/>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38"/>
          <w:sz w:val="15"/>
          <w:szCs w:val="22"/>
          <w:lang w:val="en-US" w:eastAsia="en-US" w:bidi="ar-SA"/>
        </w:rPr>
        <w:t>5</w:t>
      </w:r>
      <w:r>
        <w:rPr>
          <w:rFonts w:ascii="SimSun" w:hAnsi="SimSun" w:eastAsiaTheme="minorEastAsia" w:cs="SimSun"/>
          <w:color w:val="000000"/>
          <w:sz w:val="15"/>
          <w:szCs w:val="22"/>
          <w:lang w:val="en-US" w:eastAsia="en-US" w:bidi="ar-SA"/>
        </w:rPr>
        <w:t>年以上</w:t>
      </w:r>
    </w:p>
    <w:p>
      <w:pPr>
        <w:framePr w:w="527" w:x="9892" w:y="7413"/>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pacing w:val="1"/>
          <w:sz w:val="15"/>
          <w:szCs w:val="22"/>
          <w:lang w:val="en-US" w:eastAsia="en-US" w:bidi="ar-SA"/>
        </w:rPr>
        <w:t>合计</w:t>
      </w:r>
    </w:p>
    <w:p>
      <w:pPr>
        <w:framePr w:w="1283" w:x="1736" w:y="7763"/>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z w:val="15"/>
          <w:szCs w:val="22"/>
          <w:lang w:val="en-US" w:eastAsia="en-US" w:bidi="ar-SA"/>
        </w:rPr>
        <w:t>非衍生金融负债</w:t>
      </w:r>
    </w:p>
    <w:p>
      <w:pPr>
        <w:framePr w:w="1283" w:x="1736" w:y="7763"/>
        <w:widowControl w:val="0"/>
        <w:autoSpaceDE w:val="0"/>
        <w:autoSpaceDN w:val="0"/>
        <w:spacing w:before="223" w:line="151" w:lineRule="exact"/>
        <w:ind w:left="149"/>
        <w:rPr>
          <w:rFonts w:eastAsiaTheme="minorEastAsia" w:hAnsiTheme="minorHAnsi" w:cstheme="minorBidi"/>
          <w:color w:val="000000"/>
          <w:sz w:val="15"/>
          <w:szCs w:val="22"/>
          <w:lang w:val="en-US" w:eastAsia="en-US" w:bidi="ar-SA"/>
        </w:rPr>
      </w:pPr>
      <w:r>
        <w:rPr>
          <w:rFonts w:ascii="SimSun" w:hAnsi="SimSun" w:eastAsiaTheme="minorEastAsia" w:cs="SimSun"/>
          <w:color w:val="000000"/>
          <w:sz w:val="15"/>
          <w:szCs w:val="22"/>
          <w:lang w:val="en-US" w:eastAsia="en-US" w:bidi="ar-SA"/>
        </w:rPr>
        <w:t>应付票据</w:t>
      </w:r>
    </w:p>
    <w:p>
      <w:pPr>
        <w:framePr w:w="1132" w:x="9614" w:y="8039"/>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265,430,000.</w:t>
      </w:r>
    </w:p>
    <w:p>
      <w:pPr>
        <w:framePr w:w="1132" w:x="9614" w:y="8039"/>
        <w:widowControl w:val="0"/>
        <w:autoSpaceDE w:val="0"/>
        <w:autoSpaceDN w:val="0"/>
        <w:spacing w:before="43" w:line="151" w:lineRule="exact"/>
        <w:ind w:left="749"/>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2"/>
          <w:sz w:val="15"/>
          <w:szCs w:val="22"/>
          <w:lang w:val="en-US" w:eastAsia="en-US" w:bidi="ar-SA"/>
        </w:rPr>
        <w:t>00</w:t>
      </w:r>
    </w:p>
    <w:p>
      <w:pPr>
        <w:framePr w:w="1283" w:x="6371" w:y="8137"/>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265,430,000.00</w:t>
      </w:r>
    </w:p>
    <w:p>
      <w:pPr>
        <w:framePr w:w="830" w:x="1884" w:y="8634"/>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z w:val="15"/>
          <w:szCs w:val="22"/>
          <w:lang w:val="en-US" w:eastAsia="en-US" w:bidi="ar-SA"/>
        </w:rPr>
        <w:t>应付账款</w:t>
      </w:r>
    </w:p>
    <w:p>
      <w:pPr>
        <w:framePr w:w="1132" w:x="9614" w:y="8634"/>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174,695,394.</w:t>
      </w:r>
    </w:p>
    <w:p>
      <w:pPr>
        <w:framePr w:w="1132" w:x="9614" w:y="8634"/>
        <w:widowControl w:val="0"/>
        <w:autoSpaceDE w:val="0"/>
        <w:autoSpaceDN w:val="0"/>
        <w:spacing w:before="44" w:line="151" w:lineRule="exact"/>
        <w:ind w:left="749"/>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2"/>
          <w:sz w:val="15"/>
          <w:szCs w:val="22"/>
          <w:lang w:val="en-US" w:eastAsia="en-US" w:bidi="ar-SA"/>
        </w:rPr>
        <w:t>97</w:t>
      </w:r>
    </w:p>
    <w:p>
      <w:pPr>
        <w:framePr w:w="1283" w:x="6369" w:y="8730"/>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174,695,394.97</w:t>
      </w:r>
    </w:p>
    <w:p>
      <w:pPr>
        <w:framePr w:w="1283" w:x="6369" w:y="8730"/>
        <w:widowControl w:val="0"/>
        <w:autoSpaceDE w:val="0"/>
        <w:autoSpaceDN w:val="0"/>
        <w:spacing w:before="346" w:line="151" w:lineRule="exact"/>
        <w:ind w:left="151"/>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2,755,283.20</w:t>
      </w:r>
    </w:p>
    <w:p>
      <w:pPr>
        <w:framePr w:w="1132" w:x="9614" w:y="9129"/>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16,123,183.2</w:t>
      </w:r>
    </w:p>
    <w:p>
      <w:pPr>
        <w:framePr w:w="1132" w:x="9614" w:y="9129"/>
        <w:widowControl w:val="0"/>
        <w:autoSpaceDE w:val="0"/>
        <w:autoSpaceDN w:val="0"/>
        <w:spacing w:before="43" w:line="151" w:lineRule="exact"/>
        <w:ind w:left="823"/>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0</w:t>
      </w:r>
    </w:p>
    <w:p>
      <w:pPr>
        <w:framePr w:w="981" w:x="1884" w:y="9227"/>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pacing w:val="1"/>
          <w:sz w:val="15"/>
          <w:szCs w:val="22"/>
          <w:lang w:val="en-US" w:eastAsia="en-US" w:bidi="ar-SA"/>
        </w:rPr>
        <w:t>其他应付款</w:t>
      </w:r>
    </w:p>
    <w:p>
      <w:pPr>
        <w:framePr w:w="1057" w:x="7703" w:y="9227"/>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13,367,900.</w:t>
      </w:r>
    </w:p>
    <w:p>
      <w:pPr>
        <w:framePr w:w="1057" w:x="7703" w:y="9227"/>
        <w:widowControl w:val="0"/>
        <w:autoSpaceDE w:val="0"/>
        <w:autoSpaceDN w:val="0"/>
        <w:spacing w:before="43" w:line="151" w:lineRule="exact"/>
        <w:ind w:left="674"/>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2"/>
          <w:sz w:val="15"/>
          <w:szCs w:val="22"/>
          <w:lang w:val="en-US" w:eastAsia="en-US" w:bidi="ar-SA"/>
        </w:rPr>
        <w:t>00</w:t>
      </w:r>
    </w:p>
    <w:p>
      <w:pPr>
        <w:framePr w:w="1132" w:x="1884" w:y="9698"/>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z w:val="15"/>
          <w:szCs w:val="22"/>
          <w:lang w:val="en-US" w:eastAsia="en-US" w:bidi="ar-SA"/>
        </w:rPr>
        <w:t>其他流动负债</w:t>
      </w:r>
    </w:p>
    <w:p>
      <w:pPr>
        <w:framePr w:w="1132" w:x="6520" w:y="9698"/>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3,116,340.19</w:t>
      </w:r>
    </w:p>
    <w:p>
      <w:pPr>
        <w:framePr w:w="1132" w:x="9614" w:y="9698"/>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3,116,340.19</w:t>
      </w:r>
    </w:p>
    <w:p>
      <w:pPr>
        <w:framePr w:w="1057" w:x="7703" w:y="9976"/>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13,367,900.</w:t>
      </w:r>
    </w:p>
    <w:p>
      <w:pPr>
        <w:framePr w:w="1057" w:x="7703" w:y="9976"/>
        <w:widowControl w:val="0"/>
        <w:autoSpaceDE w:val="0"/>
        <w:autoSpaceDN w:val="0"/>
        <w:spacing w:before="43" w:line="151" w:lineRule="exact"/>
        <w:ind w:left="674"/>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2"/>
          <w:sz w:val="15"/>
          <w:szCs w:val="22"/>
          <w:lang w:val="en-US" w:eastAsia="en-US" w:bidi="ar-SA"/>
        </w:rPr>
        <w:t>00</w:t>
      </w:r>
    </w:p>
    <w:p>
      <w:pPr>
        <w:framePr w:w="1132" w:x="9614" w:y="9976"/>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459,364,918.</w:t>
      </w:r>
    </w:p>
    <w:p>
      <w:pPr>
        <w:framePr w:w="1132" w:x="9614" w:y="9976"/>
        <w:widowControl w:val="0"/>
        <w:autoSpaceDE w:val="0"/>
        <w:autoSpaceDN w:val="0"/>
        <w:spacing w:before="43" w:line="151" w:lineRule="exact"/>
        <w:ind w:left="749"/>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2"/>
          <w:sz w:val="15"/>
          <w:szCs w:val="22"/>
          <w:lang w:val="en-US" w:eastAsia="en-US" w:bidi="ar-SA"/>
        </w:rPr>
        <w:t>36</w:t>
      </w:r>
    </w:p>
    <w:p>
      <w:pPr>
        <w:framePr w:w="1586" w:x="1736" w:y="10075"/>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z w:val="15"/>
          <w:szCs w:val="22"/>
          <w:lang w:val="en-US" w:eastAsia="en-US" w:bidi="ar-SA"/>
        </w:rPr>
        <w:t>非衍生金融负债小计</w:t>
      </w:r>
    </w:p>
    <w:p>
      <w:pPr>
        <w:framePr w:w="1283" w:x="6369" w:y="10075"/>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445,997,018.36</w:t>
      </w:r>
    </w:p>
    <w:p>
      <w:pPr>
        <w:framePr w:w="1132" w:x="1736" w:y="10449"/>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z w:val="15"/>
          <w:szCs w:val="22"/>
          <w:lang w:val="en-US" w:eastAsia="en-US" w:bidi="ar-SA"/>
        </w:rPr>
        <w:t>衍生金融负债</w:t>
      </w:r>
    </w:p>
    <w:p>
      <w:pPr>
        <w:framePr w:w="1132" w:x="1736" w:y="10449"/>
        <w:widowControl w:val="0"/>
        <w:autoSpaceDE w:val="0"/>
        <w:autoSpaceDN w:val="0"/>
        <w:spacing w:before="197"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z w:val="15"/>
          <w:szCs w:val="22"/>
          <w:lang w:val="en-US" w:eastAsia="en-US" w:bidi="ar-SA"/>
        </w:rPr>
        <w:t>财务担保</w:t>
      </w:r>
    </w:p>
    <w:p>
      <w:pPr>
        <w:framePr w:w="1057" w:x="7703" w:y="11075"/>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13,367,900.</w:t>
      </w:r>
    </w:p>
    <w:p>
      <w:pPr>
        <w:framePr w:w="1057" w:x="7703" w:y="11075"/>
        <w:widowControl w:val="0"/>
        <w:autoSpaceDE w:val="0"/>
        <w:autoSpaceDN w:val="0"/>
        <w:spacing w:before="43" w:line="151" w:lineRule="exact"/>
        <w:ind w:left="674"/>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2"/>
          <w:sz w:val="15"/>
          <w:szCs w:val="22"/>
          <w:lang w:val="en-US" w:eastAsia="en-US" w:bidi="ar-SA"/>
        </w:rPr>
        <w:t>00</w:t>
      </w:r>
    </w:p>
    <w:p>
      <w:pPr>
        <w:framePr w:w="1132" w:x="9614" w:y="11075"/>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468,560,976.</w:t>
      </w:r>
    </w:p>
    <w:p>
      <w:pPr>
        <w:framePr w:w="1132" w:x="9614" w:y="11075"/>
        <w:widowControl w:val="0"/>
        <w:autoSpaceDE w:val="0"/>
        <w:autoSpaceDN w:val="0"/>
        <w:spacing w:before="43" w:line="151" w:lineRule="exact"/>
        <w:ind w:left="749"/>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pacing w:val="2"/>
          <w:sz w:val="15"/>
          <w:szCs w:val="22"/>
          <w:lang w:val="en-US" w:eastAsia="en-US" w:bidi="ar-SA"/>
        </w:rPr>
        <w:t>79</w:t>
      </w:r>
    </w:p>
    <w:p>
      <w:pPr>
        <w:framePr w:w="527" w:x="2391" w:y="11171"/>
        <w:widowControl w:val="0"/>
        <w:autoSpaceDE w:val="0"/>
        <w:autoSpaceDN w:val="0"/>
        <w:spacing w:line="151" w:lineRule="exact"/>
        <w:rPr>
          <w:rFonts w:eastAsiaTheme="minorEastAsia" w:hAnsiTheme="minorHAnsi" w:cstheme="minorBidi"/>
          <w:color w:val="000000"/>
          <w:sz w:val="15"/>
          <w:szCs w:val="22"/>
          <w:lang w:val="en-US" w:eastAsia="en-US" w:bidi="ar-SA"/>
        </w:rPr>
      </w:pPr>
      <w:r>
        <w:rPr>
          <w:rFonts w:ascii="SimSun" w:hAnsi="SimSun" w:eastAsiaTheme="minorEastAsia" w:cs="SimSun"/>
          <w:color w:val="000000"/>
          <w:spacing w:val="1"/>
          <w:sz w:val="15"/>
          <w:szCs w:val="22"/>
          <w:lang w:val="en-US" w:eastAsia="en-US" w:bidi="ar-SA"/>
        </w:rPr>
        <w:t>合计</w:t>
      </w:r>
    </w:p>
    <w:p>
      <w:pPr>
        <w:framePr w:w="1283" w:x="6369" w:y="11171"/>
        <w:widowControl w:val="0"/>
        <w:autoSpaceDE w:val="0"/>
        <w:autoSpaceDN w:val="0"/>
        <w:spacing w:line="151" w:lineRule="exact"/>
        <w:rPr>
          <w:rFonts w:ascii="SimSun" w:eastAsiaTheme="minorEastAsia" w:hAnsiTheme="minorHAnsi" w:cstheme="minorBidi"/>
          <w:color w:val="000000"/>
          <w:sz w:val="15"/>
          <w:szCs w:val="22"/>
          <w:lang w:val="en-US" w:eastAsia="en-US" w:bidi="ar-SA"/>
        </w:rPr>
      </w:pPr>
      <w:r>
        <w:rPr>
          <w:rFonts w:ascii="SimSun" w:eastAsiaTheme="minorEastAsia" w:hAnsiTheme="minorHAnsi" w:cstheme="minorBidi"/>
          <w:color w:val="000000"/>
          <w:sz w:val="15"/>
          <w:szCs w:val="22"/>
          <w:lang w:val="en-US" w:eastAsia="en-US" w:bidi="ar-SA"/>
        </w:rPr>
        <w:t>455,193,076.79</w:t>
      </w:r>
    </w:p>
    <w:p>
      <w:pPr>
        <w:framePr w:w="1745" w:x="2218" w:y="117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（三）市场风险</w:t>
      </w:r>
    </w:p>
    <w:p>
      <w:pPr>
        <w:framePr w:w="1745" w:x="2218" w:y="1175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汇率风险</w:t>
      </w:r>
    </w:p>
    <w:p>
      <w:pPr>
        <w:framePr w:w="9110" w:x="1798" w:y="125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本公司的主要经营位于中国境内，主要业务以人民币结算。但本公司已确认的外币资产和负</w:t>
      </w:r>
    </w:p>
    <w:p>
      <w:pPr>
        <w:framePr w:w="9110" w:x="1798" w:y="125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债及未来的外币交易（外币资产和负债及外币交易的计价货币主要为美元）依然存在汇率风险。</w:t>
      </w:r>
    </w:p>
    <w:p>
      <w:pPr>
        <w:framePr w:w="9110" w:x="1798" w:y="125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本公司外贸部门负责监控公司外币交易和外币资产及负债的规模，以最大程度降低面临的汇率风</w:t>
      </w:r>
    </w:p>
    <w:p>
      <w:pPr>
        <w:framePr w:w="9110" w:x="1798" w:y="125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险；为此，本公司可能会以签署远期外汇合约或外币期权方式来达到规避汇率风险的目的。</w:t>
      </w:r>
    </w:p>
    <w:p>
      <w:pPr>
        <w:framePr w:w="9110" w:x="1798" w:y="12577"/>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）本年度公司签署的远期外汇合约或货币互换合约情况如下：截止</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pacing w:val="-1"/>
          <w:sz w:val="21"/>
          <w:szCs w:val="22"/>
          <w:lang w:val="en-US" w:eastAsia="en-US" w:bidi="ar-SA"/>
        </w:rPr>
        <w:t>日，</w:t>
      </w:r>
    </w:p>
    <w:p>
      <w:pPr>
        <w:framePr w:w="9110" w:x="1798" w:y="125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公司签署的尚未交割的远期结售汇合约金额合计为</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4,846.13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万美元，根据远期汇率及剩余交割</w:t>
      </w:r>
    </w:p>
    <w:p>
      <w:pPr>
        <w:framePr w:w="9110" w:x="1798" w:y="125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时限确定的期末金融机构远期汇率报价的差额计算的公允价值变动金额为</w:t>
      </w:r>
      <w:r>
        <w:rPr>
          <w:rFonts w:eastAsiaTheme="minorEastAsia" w:hAnsiTheme="minorHAnsi" w:cstheme="minorBidi"/>
          <w:color w:val="000000"/>
          <w:spacing w:val="15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10,318,919.54</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元人</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42" type="#_x0000_t75" style="width:445.6pt;height:2.7pt;margin-top:53.65pt;margin-left:87.45pt;mso-position-horizontal-relative:page;mso-position-vertical-relative:page;position:absolute;z-index:-251336704">
            <v:imagedata r:id="rId354" o:title=""/>
          </v:shape>
        </w:pict>
      </w:r>
      <w:r>
        <w:rPr>
          <w:noProof/>
        </w:rPr>
        <w:pict>
          <v:shape id="_x0000_s1443" type="#_x0000_t75" style="width:449.3pt;height:228.8pt;margin-top:345.9pt;margin-left:82.8pt;mso-position-horizontal-relative:page;mso-position-vertical-relative:page;position:absolute;z-index:-251474944">
            <v:imagedata r:id="rId355" o:title=""/>
          </v:shape>
        </w:pict>
      </w:r>
    </w:p>
    <w:p>
      <w:pPr>
        <w:spacing w:line="0" w:lineRule="atLeast"/>
        <w:rPr>
          <w:rFonts w:ascii="Arial" w:eastAsiaTheme="minorEastAsia" w:hAnsiTheme="minorHAnsi" w:cstheme="minorBidi"/>
          <w:color w:val="FF0000"/>
          <w:sz w:val="2"/>
          <w:szCs w:val="22"/>
          <w:lang w:val="en-US" w:eastAsia="en-US" w:bidi="ar-SA"/>
        </w:rPr>
      </w:pPr>
      <w:bookmarkStart w:id="180" w:name="br1_179"/>
      <w:bookmarkEnd w:id="18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078"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民币。</w:t>
      </w:r>
    </w:p>
    <w:p>
      <w:pPr>
        <w:framePr w:w="9078" w:x="1798" w:y="1535"/>
        <w:widowControl w:val="0"/>
        <w:autoSpaceDE w:val="0"/>
        <w:autoSpaceDN w:val="0"/>
        <w:spacing w:before="20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）截止</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日，本公司持有的外币金融资产和外币金融负债折算成人民币的</w:t>
      </w:r>
    </w:p>
    <w:p>
      <w:pPr>
        <w:framePr w:w="9078"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金额列示如下：</w:t>
      </w:r>
    </w:p>
    <w:p>
      <w:pPr>
        <w:framePr w:w="2172" w:x="6707" w:y="28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期末余额</w:t>
      </w:r>
    </w:p>
    <w:p>
      <w:pPr>
        <w:framePr w:w="2172" w:x="6707" w:y="2842"/>
        <w:widowControl w:val="0"/>
        <w:autoSpaceDE w:val="0"/>
        <w:autoSpaceDN w:val="0"/>
        <w:spacing w:before="115" w:line="180" w:lineRule="exact"/>
        <w:ind w:left="492"/>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印度尼西亚卢比项</w:t>
      </w:r>
    </w:p>
    <w:p>
      <w:pPr>
        <w:framePr w:w="600" w:x="2621" w:y="307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960" w:x="4148" w:y="325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美元项目</w:t>
      </w:r>
    </w:p>
    <w:p>
      <w:pPr>
        <w:framePr w:w="1500" w:x="5583" w:y="325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澳大利亚元项目</w:t>
      </w:r>
    </w:p>
    <w:p>
      <w:pPr>
        <w:framePr w:w="600" w:x="9446" w:y="325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合计</w:t>
      </w:r>
    </w:p>
    <w:p>
      <w:pPr>
        <w:framePr w:w="420" w:x="7830" w:y="337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目</w:t>
      </w:r>
    </w:p>
    <w:p>
      <w:pPr>
        <w:framePr w:w="1500" w:x="2057" w:y="366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外币金融资产：</w:t>
      </w:r>
    </w:p>
    <w:p>
      <w:pPr>
        <w:framePr w:w="1500" w:x="2057" w:y="3667"/>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货币资金</w:t>
      </w:r>
    </w:p>
    <w:p>
      <w:pPr>
        <w:framePr w:w="1502" w:x="3990" w:y="4018"/>
        <w:widowControl w:val="0"/>
        <w:autoSpaceDE w:val="0"/>
        <w:autoSpaceDN w:val="0"/>
        <w:spacing w:line="180" w:lineRule="exact"/>
        <w:ind w:left="9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70,240,518.80</w:t>
      </w:r>
    </w:p>
    <w:p>
      <w:pPr>
        <w:framePr w:w="1502" w:x="3990" w:y="4018"/>
        <w:widowControl w:val="0"/>
        <w:autoSpaceDE w:val="0"/>
        <w:autoSpaceDN w:val="0"/>
        <w:spacing w:before="1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194,669,277.36</w:t>
      </w:r>
    </w:p>
    <w:p>
      <w:pPr>
        <w:framePr w:w="692" w:x="6508" w:y="401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81.51</w:t>
      </w:r>
    </w:p>
    <w:p>
      <w:pPr>
        <w:framePr w:w="1143" w:x="7763" w:y="4018"/>
        <w:widowControl w:val="0"/>
        <w:autoSpaceDE w:val="0"/>
        <w:autoSpaceDN w:val="0"/>
        <w:spacing w:line="180" w:lineRule="exact"/>
        <w:ind w:left="9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49,202.87</w:t>
      </w:r>
    </w:p>
    <w:p>
      <w:pPr>
        <w:framePr w:w="1143" w:x="7763" w:y="4018"/>
        <w:widowControl w:val="0"/>
        <w:autoSpaceDE w:val="0"/>
        <w:autoSpaceDN w:val="0"/>
        <w:spacing w:before="1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363,641.88</w:t>
      </w:r>
    </w:p>
    <w:p>
      <w:pPr>
        <w:framePr w:w="1143" w:x="7763" w:y="4018"/>
        <w:widowControl w:val="0"/>
        <w:autoSpaceDE w:val="0"/>
        <w:autoSpaceDN w:val="0"/>
        <w:spacing w:before="170" w:line="180" w:lineRule="exact"/>
        <w:ind w:left="1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3,082.20</w:t>
      </w:r>
    </w:p>
    <w:p>
      <w:pPr>
        <w:framePr w:w="1502" w:x="9110" w:y="4018"/>
        <w:widowControl w:val="0"/>
        <w:autoSpaceDE w:val="0"/>
        <w:autoSpaceDN w:val="0"/>
        <w:spacing w:line="180" w:lineRule="exact"/>
        <w:ind w:left="9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70,289,803.18</w:t>
      </w:r>
    </w:p>
    <w:p>
      <w:pPr>
        <w:framePr w:w="1502" w:x="9110" w:y="4018"/>
        <w:widowControl w:val="0"/>
        <w:autoSpaceDE w:val="0"/>
        <w:autoSpaceDN w:val="0"/>
        <w:spacing w:before="1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196,648,167.84</w:t>
      </w:r>
    </w:p>
    <w:p>
      <w:pPr>
        <w:framePr w:w="1502" w:x="9110" w:y="4018"/>
        <w:widowControl w:val="0"/>
        <w:autoSpaceDE w:val="0"/>
        <w:autoSpaceDN w:val="0"/>
        <w:spacing w:before="170" w:line="180" w:lineRule="exact"/>
        <w:ind w:left="54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3,082.20</w:t>
      </w:r>
    </w:p>
    <w:p>
      <w:pPr>
        <w:framePr w:w="960" w:x="2057" w:y="436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应收账款</w:t>
      </w:r>
    </w:p>
    <w:p>
      <w:pPr>
        <w:framePr w:w="1320" w:x="5876" w:y="436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1,615,248.60</w:t>
      </w:r>
    </w:p>
    <w:p>
      <w:pPr>
        <w:framePr w:w="1164" w:x="2057" w:y="471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其他应收款</w:t>
      </w:r>
    </w:p>
    <w:p>
      <w:pPr>
        <w:framePr w:w="1164" w:x="2057" w:y="4719"/>
        <w:widowControl w:val="0"/>
        <w:autoSpaceDE w:val="0"/>
        <w:autoSpaceDN w:val="0"/>
        <w:spacing w:before="170" w:line="180" w:lineRule="exact"/>
        <w:ind w:left="564"/>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小计</w:t>
      </w:r>
    </w:p>
    <w:p>
      <w:pPr>
        <w:framePr w:w="1500" w:x="3990" w:y="506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264,909,796.16</w:t>
      </w:r>
    </w:p>
    <w:p>
      <w:pPr>
        <w:framePr w:w="1320" w:x="5876" w:y="506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1,615,330.11</w:t>
      </w:r>
    </w:p>
    <w:p>
      <w:pPr>
        <w:framePr w:w="1140" w:x="7763" w:y="506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415,926.95</w:t>
      </w:r>
    </w:p>
    <w:p>
      <w:pPr>
        <w:framePr w:w="1501" w:x="9110" w:y="506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266,941,053.22</w:t>
      </w:r>
    </w:p>
    <w:p>
      <w:pPr>
        <w:framePr w:w="1501" w:x="9110" w:y="5069"/>
        <w:widowControl w:val="0"/>
        <w:autoSpaceDE w:val="0"/>
        <w:autoSpaceDN w:val="0"/>
        <w:spacing w:before="169"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0.00</w:t>
      </w:r>
    </w:p>
    <w:p>
      <w:pPr>
        <w:framePr w:w="1500" w:x="2057" w:y="541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外币金融负债：</w:t>
      </w:r>
    </w:p>
    <w:p>
      <w:pPr>
        <w:framePr w:w="1500" w:x="2057" w:y="5418"/>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应付账款</w:t>
      </w:r>
    </w:p>
    <w:p>
      <w:pPr>
        <w:framePr w:w="1412" w:x="4081" w:y="576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15,595,998.94</w:t>
      </w:r>
    </w:p>
    <w:p>
      <w:pPr>
        <w:framePr w:w="1412" w:x="4081" w:y="5768"/>
        <w:widowControl w:val="0"/>
        <w:autoSpaceDE w:val="0"/>
        <w:autoSpaceDN w:val="0"/>
        <w:spacing w:before="170" w:line="180" w:lineRule="exact"/>
        <w:ind w:left="36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39,240.75</w:t>
      </w:r>
    </w:p>
    <w:p>
      <w:pPr>
        <w:framePr w:w="1320" w:x="7583" w:y="576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1,963,036.65</w:t>
      </w:r>
    </w:p>
    <w:p>
      <w:pPr>
        <w:framePr w:w="1320" w:x="7583" w:y="5768"/>
        <w:widowControl w:val="0"/>
        <w:autoSpaceDE w:val="0"/>
        <w:autoSpaceDN w:val="0"/>
        <w:spacing w:before="521"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1,963,036.65</w:t>
      </w:r>
    </w:p>
    <w:p>
      <w:pPr>
        <w:framePr w:w="1412" w:x="9201" w:y="576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17,559,035.59</w:t>
      </w:r>
    </w:p>
    <w:p>
      <w:pPr>
        <w:framePr w:w="1412" w:x="9201" w:y="5768"/>
        <w:widowControl w:val="0"/>
        <w:autoSpaceDE w:val="0"/>
        <w:autoSpaceDN w:val="0"/>
        <w:spacing w:before="170" w:line="180" w:lineRule="exact"/>
        <w:ind w:left="36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39,240.75</w:t>
      </w:r>
    </w:p>
    <w:p>
      <w:pPr>
        <w:framePr w:w="1164" w:x="2057" w:y="611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其他应付款</w:t>
      </w:r>
    </w:p>
    <w:p>
      <w:pPr>
        <w:framePr w:w="1164" w:x="2057" w:y="6118"/>
        <w:widowControl w:val="0"/>
        <w:autoSpaceDE w:val="0"/>
        <w:autoSpaceDN w:val="0"/>
        <w:spacing w:before="170" w:line="180" w:lineRule="exact"/>
        <w:ind w:left="564"/>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小计</w:t>
      </w:r>
    </w:p>
    <w:p>
      <w:pPr>
        <w:framePr w:w="1411" w:x="4081" w:y="646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15,635,239.69</w:t>
      </w:r>
    </w:p>
    <w:p>
      <w:pPr>
        <w:framePr w:w="1411" w:x="9201" w:y="646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17,598,276.34</w:t>
      </w:r>
    </w:p>
    <w:p>
      <w:pPr>
        <w:framePr w:w="2558" w:x="1798" w:y="71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十一、</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公允价值的披露</w:t>
      </w:r>
    </w:p>
    <w:p>
      <w:pPr>
        <w:framePr w:w="4884" w:x="1798" w:y="77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以公允价值计量的资产和负债的期末公允价值</w:t>
      </w:r>
    </w:p>
    <w:p>
      <w:pPr>
        <w:framePr w:w="1817" w:x="1798" w:y="82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43" w:x="8531" w:y="87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5149" w:x="4107" w:y="9051"/>
        <w:widowControl w:val="0"/>
        <w:autoSpaceDE w:val="0"/>
        <w:autoSpaceDN w:val="0"/>
        <w:spacing w:line="211" w:lineRule="exact"/>
        <w:ind w:left="262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期末公允价值</w:t>
      </w:r>
    </w:p>
    <w:p>
      <w:pPr>
        <w:framePr w:w="5149" w:x="4107" w:y="905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第一层次公允价</w:t>
      </w:r>
      <w:r>
        <w:rPr>
          <w:rFonts w:eastAsiaTheme="minorEastAsia" w:hAnsiTheme="minorHAnsi" w:cstheme="minorBidi"/>
          <w:color w:val="000000"/>
          <w:spacing w:val="183"/>
          <w:sz w:val="21"/>
          <w:szCs w:val="22"/>
          <w:lang w:val="en-US" w:eastAsia="en-US" w:bidi="ar-SA"/>
        </w:rPr>
        <w:t xml:space="preserve"> </w:t>
      </w:r>
      <w:r>
        <w:rPr>
          <w:rFonts w:ascii="SimSun" w:hAnsi="SimSun" w:eastAsiaTheme="minorEastAsia" w:cs="SimSun"/>
          <w:color w:val="000000"/>
          <w:sz w:val="21"/>
          <w:szCs w:val="22"/>
          <w:lang w:val="en-US" w:eastAsia="en-US" w:bidi="ar-SA"/>
        </w:rPr>
        <w:t>第二层次公允价</w:t>
      </w:r>
      <w:r>
        <w:rPr>
          <w:rFonts w:eastAsiaTheme="minorEastAsia" w:hAnsiTheme="minorHAnsi" w:cstheme="minorBidi"/>
          <w:color w:val="000000"/>
          <w:spacing w:val="201"/>
          <w:sz w:val="21"/>
          <w:szCs w:val="22"/>
          <w:lang w:val="en-US" w:eastAsia="en-US" w:bidi="ar-SA"/>
        </w:rPr>
        <w:t xml:space="preserve"> </w:t>
      </w:r>
      <w:r>
        <w:rPr>
          <w:rFonts w:ascii="SimSun" w:hAnsi="SimSun" w:eastAsiaTheme="minorEastAsia" w:cs="SimSun"/>
          <w:color w:val="000000"/>
          <w:sz w:val="21"/>
          <w:szCs w:val="22"/>
          <w:lang w:val="en-US" w:eastAsia="en-US" w:bidi="ar-SA"/>
        </w:rPr>
        <w:t>第三层次公允价</w:t>
      </w:r>
    </w:p>
    <w:p>
      <w:pPr>
        <w:framePr w:w="662" w:x="2249" w:y="93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9741" w:y="9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874" w:x="4527" w:y="96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值计量</w:t>
      </w:r>
    </w:p>
    <w:p>
      <w:pPr>
        <w:framePr w:w="874" w:x="6236" w:y="96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值计量</w:t>
      </w:r>
    </w:p>
    <w:p>
      <w:pPr>
        <w:framePr w:w="874" w:x="7962" w:y="96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值计量</w:t>
      </w:r>
    </w:p>
    <w:p>
      <w:pPr>
        <w:framePr w:w="2986" w:x="1054" w:y="98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一、持续的公允价值计量</w:t>
      </w:r>
    </w:p>
    <w:p>
      <w:pPr>
        <w:framePr w:w="2986" w:x="1054" w:y="988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（一）交易性金融资产</w:t>
      </w:r>
    </w:p>
    <w:p>
      <w:pPr>
        <w:framePr w:w="2986" w:x="1054" w:y="988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以公允价值计量且变动计入</w:t>
      </w:r>
    </w:p>
    <w:p>
      <w:pPr>
        <w:framePr w:w="2986" w:x="1054" w:y="988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当期损益的金融资产</w:t>
      </w:r>
    </w:p>
    <w:p>
      <w:pPr>
        <w:framePr w:w="1613" w:x="5924" w:y="101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10,384,715.04</w:t>
      </w:r>
    </w:p>
    <w:p>
      <w:pPr>
        <w:framePr w:w="1613" w:x="5924" w:y="101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10,384,715.04</w:t>
      </w:r>
    </w:p>
    <w:p>
      <w:pPr>
        <w:framePr w:w="3190" w:x="7686" w:y="101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70,000,000.00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80,384,715.04</w:t>
      </w:r>
    </w:p>
    <w:p>
      <w:pPr>
        <w:framePr w:w="3190" w:x="7686" w:y="101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70,000,000.00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80,384,715.04</w:t>
      </w:r>
    </w:p>
    <w:p>
      <w:pPr>
        <w:framePr w:w="2035" w:x="1054" w:y="110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）债务工具投资</w:t>
      </w:r>
    </w:p>
    <w:p>
      <w:pPr>
        <w:framePr w:w="2035" w:x="1054" w:y="11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）权益工具投资</w:t>
      </w:r>
    </w:p>
    <w:p>
      <w:pPr>
        <w:framePr w:w="2035" w:x="1054" w:y="115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）衍生金融资产</w:t>
      </w:r>
    </w:p>
    <w:p>
      <w:pPr>
        <w:framePr w:w="1613" w:x="5924" w:y="115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10,384,715.04</w:t>
      </w:r>
    </w:p>
    <w:p>
      <w:pPr>
        <w:framePr w:w="1613" w:x="9268" w:y="115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10,384,715.04</w:t>
      </w:r>
    </w:p>
    <w:p>
      <w:pPr>
        <w:framePr w:w="2563" w:x="1054" w:y="118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）其他</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银行理财产品</w:t>
      </w:r>
    </w:p>
    <w:p>
      <w:pPr>
        <w:framePr w:w="3190" w:x="7686" w:y="118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70,000,000.00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70,000,000.00</w:t>
      </w:r>
    </w:p>
    <w:p>
      <w:pPr>
        <w:framePr w:w="2867" w:x="1054" w:y="121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指定以公允价值计量且其</w:t>
      </w:r>
    </w:p>
    <w:p>
      <w:pPr>
        <w:framePr w:w="2986" w:x="1054" w:y="124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变动计入当期损益的金融资产</w:t>
      </w:r>
    </w:p>
    <w:p>
      <w:pPr>
        <w:framePr w:w="2563" w:x="1054" w:y="1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）债务工具投资</w:t>
      </w:r>
    </w:p>
    <w:p>
      <w:pPr>
        <w:framePr w:w="2563" w:x="1054" w:y="127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）权益工具投资</w:t>
      </w:r>
    </w:p>
    <w:p>
      <w:pPr>
        <w:framePr w:w="2563" w:x="1054" w:y="1275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（二）其他债权投资</w:t>
      </w:r>
    </w:p>
    <w:p>
      <w:pPr>
        <w:framePr w:w="2563" w:x="1054" w:y="127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（三）其他权益工具投资</w:t>
      </w:r>
    </w:p>
    <w:p>
      <w:pPr>
        <w:framePr w:w="2563" w:x="1054" w:y="127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（四）投资性房地产</w:t>
      </w:r>
    </w:p>
    <w:p>
      <w:pPr>
        <w:framePr w:w="2563" w:x="1054" w:y="1275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出租用的土地使用权</w:t>
      </w:r>
    </w:p>
    <w:p>
      <w:pPr>
        <w:framePr w:w="2563" w:x="1054" w:y="127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出租的建筑物</w:t>
      </w:r>
    </w:p>
    <w:p>
      <w:pPr>
        <w:framePr w:w="2986" w:x="1054" w:y="147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持有并准备增值后转让的土</w:t>
      </w:r>
    </w:p>
    <w:p>
      <w:pPr>
        <w:framePr w:w="2986" w:x="1054" w:y="1473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地使用权</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44" type="#_x0000_t75" style="width:445.6pt;height:2.7pt;margin-top:53.65pt;margin-left:87.45pt;mso-position-horizontal-relative:page;mso-position-vertical-relative:page;position:absolute;z-index:-251242496">
            <v:imagedata r:id="rId356" o:title=""/>
          </v:shape>
        </w:pict>
      </w:r>
      <w:r>
        <w:rPr>
          <w:noProof/>
        </w:rPr>
        <w:pict>
          <v:shape id="_x0000_s1445" type="#_x0000_t75" style="width:429.3pt;height:203.4pt;margin-top:135.6pt;margin-left:95.75pt;mso-position-horizontal-relative:page;mso-position-vertical-relative:page;position:absolute;z-index:-251335680">
            <v:imagedata r:id="rId357" o:title=""/>
          </v:shape>
        </w:pict>
      </w:r>
      <w:r>
        <w:rPr>
          <w:noProof/>
        </w:rPr>
        <w:pict>
          <v:shape id="_x0000_s1446" type="#_x0000_t75" style="width:492.3pt;height:314.25pt;margin-top:449.6pt;margin-left:46.05pt;mso-position-horizontal-relative:page;mso-position-vertical-relative:page;position:absolute;z-index:-251473920">
            <v:imagedata r:id="rId358" o:title=""/>
          </v:shape>
        </w:pict>
      </w:r>
    </w:p>
    <w:p>
      <w:pPr>
        <w:spacing w:line="0" w:lineRule="atLeast"/>
        <w:rPr>
          <w:rFonts w:ascii="Arial" w:eastAsiaTheme="minorEastAsia" w:hAnsiTheme="minorHAnsi" w:cstheme="minorBidi"/>
          <w:color w:val="FF0000"/>
          <w:sz w:val="2"/>
          <w:szCs w:val="22"/>
          <w:lang w:val="en-US" w:eastAsia="en-US" w:bidi="ar-SA"/>
        </w:rPr>
      </w:pPr>
      <w:bookmarkStart w:id="181" w:name="br1_180"/>
      <w:bookmarkEnd w:id="18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718" w:x="1054"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（五）生物资产</w:t>
      </w:r>
    </w:p>
    <w:p>
      <w:pPr>
        <w:framePr w:w="2986" w:x="1054"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消耗性生物资产</w:t>
      </w:r>
    </w:p>
    <w:p>
      <w:pPr>
        <w:framePr w:w="2986" w:x="1054"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生产性生物资产</w:t>
      </w:r>
    </w:p>
    <w:p>
      <w:pPr>
        <w:framePr w:w="2986" w:x="1054"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2"/>
          <w:sz w:val="21"/>
          <w:szCs w:val="22"/>
          <w:lang w:val="en-US" w:eastAsia="en-US" w:bidi="ar-SA"/>
        </w:rPr>
        <w:t>六</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6"/>
          <w:sz w:val="21"/>
          <w:szCs w:val="22"/>
          <w:lang w:val="en-US" w:eastAsia="en-US" w:bidi="ar-SA"/>
        </w:rPr>
        <w:t xml:space="preserve"> </w:t>
      </w:r>
      <w:r>
        <w:rPr>
          <w:rFonts w:ascii="SimSun" w:hAnsi="SimSun" w:eastAsiaTheme="minorEastAsia" w:cs="SimSun"/>
          <w:color w:val="000000"/>
          <w:sz w:val="21"/>
          <w:szCs w:val="22"/>
          <w:lang w:val="en-US" w:eastAsia="en-US" w:bidi="ar-SA"/>
        </w:rPr>
        <w:t>应收账款融资</w:t>
      </w:r>
    </w:p>
    <w:p>
      <w:pPr>
        <w:framePr w:w="2986" w:x="1054"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持续以公允价值计量的资产总</w:t>
      </w:r>
    </w:p>
    <w:p>
      <w:pPr>
        <w:framePr w:w="2986" w:x="1054" w:y="182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1613" w:x="4237"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10,688,694.00</w:t>
      </w:r>
    </w:p>
    <w:p>
      <w:pPr>
        <w:framePr w:w="1613" w:x="9268"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10,688,694.00</w:t>
      </w:r>
    </w:p>
    <w:p>
      <w:pPr>
        <w:framePr w:w="3295" w:x="4237"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10,688,694.00</w:t>
      </w:r>
      <w:r>
        <w:rPr>
          <w:rFonts w:ascii="SimSun" w:eastAsiaTheme="minorEastAsia" w:hAnsiTheme="minorHAnsi" w:cstheme="minorBidi"/>
          <w:color w:val="000000"/>
          <w:spacing w:val="2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10,384,715.04</w:t>
      </w:r>
    </w:p>
    <w:p>
      <w:pPr>
        <w:framePr w:w="3190" w:x="7686"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70,000,000.00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91,073,409.04</w:t>
      </w:r>
    </w:p>
    <w:p>
      <w:pPr>
        <w:framePr w:w="2352" w:x="1054" w:y="3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（六）交易性金融负债</w:t>
      </w:r>
    </w:p>
    <w:p>
      <w:pPr>
        <w:framePr w:w="2986" w:x="1054" w:y="35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以公允价值计量且变动计入</w:t>
      </w:r>
    </w:p>
    <w:p>
      <w:pPr>
        <w:framePr w:w="2986" w:x="1054" w:y="353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当期损益的金融负债</w:t>
      </w:r>
    </w:p>
    <w:p>
      <w:pPr>
        <w:framePr w:w="2986" w:x="1054" w:y="353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其中：发行的交易性债券</w:t>
      </w:r>
    </w:p>
    <w:p>
      <w:pPr>
        <w:framePr w:w="2986" w:x="1054" w:y="3537"/>
        <w:widowControl w:val="0"/>
        <w:autoSpaceDE w:val="0"/>
        <w:autoSpaceDN w:val="0"/>
        <w:spacing w:before="72" w:line="211" w:lineRule="exact"/>
        <w:ind w:left="63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190" w:x="6345" w:y="35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1190" w:x="9688" w:y="35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1190" w:x="9688" w:y="3537"/>
        <w:widowControl w:val="0"/>
        <w:autoSpaceDE w:val="0"/>
        <w:autoSpaceDN w:val="0"/>
        <w:spacing w:before="62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1190" w:x="6345" w:y="43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662" w:x="1685" w:y="46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2986" w:x="1054" w:y="49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指定为以公允价值计量且变</w:t>
      </w:r>
    </w:p>
    <w:p>
      <w:pPr>
        <w:framePr w:w="2986" w:x="1054" w:y="4963"/>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动计入当期损益的金融负债</w:t>
      </w:r>
    </w:p>
    <w:p>
      <w:pPr>
        <w:framePr w:w="2986" w:x="1054" w:y="496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持续以公允价值计量的负债总</w:t>
      </w:r>
    </w:p>
    <w:p>
      <w:pPr>
        <w:framePr w:w="2986" w:x="1054" w:y="496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1190" w:x="6345" w:y="55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1190" w:x="9688" w:y="55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65,795.50</w:t>
      </w:r>
    </w:p>
    <w:p>
      <w:pPr>
        <w:framePr w:w="2986" w:x="1054" w:y="60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二、非持续的公允价值计量</w:t>
      </w:r>
    </w:p>
    <w:p>
      <w:pPr>
        <w:framePr w:w="2986" w:x="1054" w:y="607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（一）持有待售资产</w:t>
      </w:r>
    </w:p>
    <w:p>
      <w:pPr>
        <w:framePr w:w="2986" w:x="1054" w:y="607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非持续以公允价值计量的资产</w:t>
      </w:r>
    </w:p>
    <w:p>
      <w:pPr>
        <w:framePr w:w="2986" w:x="1054" w:y="607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总额</w:t>
      </w:r>
    </w:p>
    <w:p>
      <w:pPr>
        <w:framePr w:w="2986" w:x="1054" w:y="7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非持续以公允价值计量的负债</w:t>
      </w:r>
    </w:p>
    <w:p>
      <w:pPr>
        <w:framePr w:w="2986" w:x="1054" w:y="719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总额</w:t>
      </w:r>
    </w:p>
    <w:p>
      <w:pPr>
        <w:framePr w:w="5935" w:x="1798" w:y="84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持续和非持续第一层次公允价值计量项目市价的确定依据</w:t>
      </w:r>
    </w:p>
    <w:p>
      <w:pPr>
        <w:framePr w:w="1922" w:x="1798" w:y="89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888" w:x="1798" w:y="947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在计量日能够取得的相同资产或负债在活跃市场上未经调整的报价。</w:t>
      </w:r>
    </w:p>
    <w:p>
      <w:pPr>
        <w:framePr w:w="8888" w:x="1798" w:y="947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持续和非持续第二层次公允价值计量项目，采用的估值技术和重要参数的定性及定量信息</w:t>
      </w:r>
    </w:p>
    <w:p>
      <w:pPr>
        <w:framePr w:w="8888" w:x="1798" w:y="947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216" w:x="1798" w:y="1105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除第一层次输入值外相关资产或负债直接或间接可观察的输入值，包括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）活跃市场中类似</w:t>
      </w:r>
    </w:p>
    <w:p>
      <w:pPr>
        <w:framePr w:w="9216" w:x="1798" w:y="1105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资产或负债的报价；</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）非活跃市场中相同或类似资产或负债的报价；</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z w:val="21"/>
          <w:szCs w:val="22"/>
          <w:lang w:val="en-US" w:eastAsia="en-US" w:bidi="ar-SA"/>
        </w:rPr>
        <w:t>）除报价以外的其他可观</w:t>
      </w:r>
    </w:p>
    <w:p>
      <w:pPr>
        <w:framePr w:w="9216" w:x="1798" w:y="1105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察输入值，包括在正常报价间隔期间可观察的利率和收益率曲线、隐含波动率和信用利差等；</w:t>
      </w:r>
      <w:r>
        <w:rPr>
          <w:rFonts w:ascii="SimSun" w:eastAsiaTheme="minorEastAsia" w:hAnsiTheme="minorHAnsi" w:cstheme="minorBidi"/>
          <w:color w:val="000000"/>
          <w:spacing w:val="3"/>
          <w:sz w:val="21"/>
          <w:szCs w:val="22"/>
          <w:lang w:val="en-US" w:eastAsia="en-US" w:bidi="ar-SA"/>
        </w:rPr>
        <w:t>4</w:t>
      </w:r>
      <w:r>
        <w:rPr>
          <w:rFonts w:ascii="SimSun" w:hAnsi="SimSun" w:eastAsiaTheme="minorEastAsia" w:cs="SimSun"/>
          <w:color w:val="000000"/>
          <w:sz w:val="21"/>
          <w:szCs w:val="22"/>
          <w:lang w:val="en-US" w:eastAsia="en-US" w:bidi="ar-SA"/>
        </w:rPr>
        <w:t>）</w:t>
      </w:r>
    </w:p>
    <w:p>
      <w:pPr>
        <w:framePr w:w="9216" w:x="1798" w:y="1105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市场验证的输入值等。</w:t>
      </w:r>
    </w:p>
    <w:p>
      <w:pPr>
        <w:framePr w:w="8888" w:x="1798" w:y="128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持续和非持续第三层次公允价值计量项目，采用的估值技术和重要参数的定性及定量信息</w:t>
      </w:r>
    </w:p>
    <w:p>
      <w:pPr>
        <w:framePr w:w="1922" w:x="1798" w:y="133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8" w:x="2218" w:y="138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相关资产或负债的不可观察输入值</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47" type="#_x0000_t75" style="width:445.6pt;height:2.7pt;margin-top:53.65pt;margin-left:87.45pt;mso-position-horizontal-relative:page;mso-position-vertical-relative:page;position:absolute;z-index:-251334656">
            <v:imagedata r:id="rId359" o:title=""/>
          </v:shape>
        </w:pict>
      </w:r>
      <w:r>
        <w:rPr>
          <w:noProof/>
        </w:rPr>
        <w:pict>
          <v:shape id="_x0000_s1448" type="#_x0000_t75" style="width:492.3pt;height:312.6pt;margin-top:74.3pt;margin-left:46.05pt;mso-position-horizontal-relative:page;mso-position-vertical-relative:page;position:absolute;z-index:-251472896">
            <v:imagedata r:id="rId360" o:title=""/>
          </v:shape>
        </w:pict>
      </w:r>
    </w:p>
    <w:p>
      <w:pPr>
        <w:spacing w:line="0" w:lineRule="atLeast"/>
        <w:rPr>
          <w:rFonts w:ascii="Arial" w:eastAsiaTheme="minorEastAsia" w:hAnsiTheme="minorHAnsi" w:cstheme="minorBidi"/>
          <w:color w:val="FF0000"/>
          <w:sz w:val="2"/>
          <w:szCs w:val="22"/>
          <w:lang w:val="en-US" w:eastAsia="en-US" w:bidi="ar-SA"/>
        </w:rPr>
      </w:pPr>
      <w:bookmarkStart w:id="182" w:name="br1_181"/>
      <w:bookmarkEnd w:id="18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9075"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z w:val="21"/>
          <w:szCs w:val="22"/>
          <w:lang w:val="en-US" w:eastAsia="en-US" w:bidi="ar-SA"/>
        </w:rPr>
        <w:t>持续的第三层次公允价值计量项目，期初与期末账面价值间的调节信息及不可观察参数敏感</w:t>
      </w:r>
    </w:p>
    <w:p>
      <w:pPr>
        <w:framePr w:w="874" w:x="2223"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性分析</w:t>
      </w:r>
    </w:p>
    <w:p>
      <w:pPr>
        <w:framePr w:w="1922"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5" w:x="1798" w:y="30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z w:val="21"/>
          <w:szCs w:val="22"/>
          <w:lang w:val="en-US" w:eastAsia="en-US" w:bidi="ar-SA"/>
        </w:rPr>
        <w:t>持续的公允价值计量项目，本期内发生各层级之间转换的，转换的原因及确定转换时点的政</w:t>
      </w:r>
    </w:p>
    <w:p>
      <w:pPr>
        <w:framePr w:w="451" w:x="2223"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w:t>
      </w:r>
    </w:p>
    <w:p>
      <w:pPr>
        <w:framePr w:w="1922" w:x="1798" w:y="39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250" w:x="1798" w:y="4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本期内发生的估值技术变更及变更原因</w:t>
      </w:r>
    </w:p>
    <w:p>
      <w:pPr>
        <w:framePr w:w="4250" w:x="1798" w:y="446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936" w:x="1798" w:y="55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不以公允价值计量的金融资产和金融负债的公允价值情况</w:t>
      </w:r>
    </w:p>
    <w:p>
      <w:pPr>
        <w:framePr w:w="5936" w:x="1798" w:y="552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65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71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76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十二、</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关联方及关联交易</w:t>
      </w:r>
    </w:p>
    <w:p>
      <w:pPr>
        <w:framePr w:w="2770" w:x="1798" w:y="763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本企业的母公司情况</w:t>
      </w:r>
    </w:p>
    <w:p>
      <w:pPr>
        <w:framePr w:w="1922" w:x="1798" w:y="86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6" w:x="1798" w:y="9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本企业的子公司情况</w:t>
      </w:r>
    </w:p>
    <w:p>
      <w:pPr>
        <w:framePr w:w="2986" w:x="1798" w:y="97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本企业子公司的情况详见附注</w:t>
      </w:r>
    </w:p>
    <w:p>
      <w:pPr>
        <w:framePr w:w="2986" w:x="1798" w:y="975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126" w:x="1798" w:y="1081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本公司的子公司情况详见附注九（一）在子公司中的权益。</w:t>
      </w:r>
    </w:p>
    <w:p>
      <w:pPr>
        <w:framePr w:w="6126" w:x="1798" w:y="1081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本企业合营和联营企业情况</w:t>
      </w:r>
    </w:p>
    <w:p>
      <w:pPr>
        <w:framePr w:w="6126" w:x="1798" w:y="10810"/>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本企业重要的合营或联营企业详见附注</w:t>
      </w:r>
    </w:p>
    <w:p>
      <w:pPr>
        <w:framePr w:w="6126" w:x="1798" w:y="10810"/>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29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本期与本公司发生关联方交易，或前期与本公司发生关联方交易形成余额的其他合营或联营企业</w:t>
      </w:r>
    </w:p>
    <w:p>
      <w:pPr>
        <w:framePr w:w="9110" w:x="1798" w:y="129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情况如下</w:t>
      </w:r>
    </w:p>
    <w:p>
      <w:pPr>
        <w:framePr w:w="1817" w:x="1798" w:y="13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386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149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49" type="#_x0000_t75" style="width:445.6pt;height:2.7pt;margin-top:53.65pt;margin-left:87.45pt;mso-position-horizontal-relative:page;mso-position-vertical-relative:page;position:absolute;z-index:-25147187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83" w:name="br1_182"/>
      <w:bookmarkEnd w:id="18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143"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其他关联方情况</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18" w:x="2943" w:y="26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其他关联方名称</w:t>
      </w:r>
    </w:p>
    <w:p>
      <w:pPr>
        <w:framePr w:w="2563" w:x="7048" w:y="26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其他关联方与本企业关系</w:t>
      </w:r>
    </w:p>
    <w:p>
      <w:pPr>
        <w:framePr w:w="874" w:x="1798" w:y="28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孙利娟</w:t>
      </w:r>
    </w:p>
    <w:p>
      <w:pPr>
        <w:framePr w:w="874" w:x="1798" w:y="288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贾玉玲</w:t>
      </w:r>
    </w:p>
    <w:p>
      <w:pPr>
        <w:framePr w:w="874" w:x="1798" w:y="288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侯万富</w:t>
      </w:r>
    </w:p>
    <w:p>
      <w:pPr>
        <w:framePr w:w="874" w:x="1798" w:y="288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王现国</w:t>
      </w:r>
    </w:p>
    <w:p>
      <w:pPr>
        <w:framePr w:w="1085" w:x="5775" w:y="28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参股股东</w:t>
      </w:r>
    </w:p>
    <w:p>
      <w:pPr>
        <w:framePr w:w="1085" w:x="5775" w:y="288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参股股东</w:t>
      </w:r>
    </w:p>
    <w:p>
      <w:pPr>
        <w:framePr w:w="1085" w:x="5775" w:y="288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参股股东</w:t>
      </w:r>
    </w:p>
    <w:p>
      <w:pPr>
        <w:framePr w:w="1085" w:x="5775" w:y="288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参股股东</w:t>
      </w:r>
    </w:p>
    <w:p>
      <w:pPr>
        <w:framePr w:w="1085" w:x="1798" w:y="41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451" w:x="1798" w:y="46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932" w:x="1798" w:y="51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关联交易情况</w:t>
      </w:r>
    </w:p>
    <w:p>
      <w:pPr>
        <w:framePr w:w="4253" w:x="1798" w:y="57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购销商品、提供和接受劳务的关联交易</w:t>
      </w:r>
    </w:p>
    <w:p>
      <w:pPr>
        <w:framePr w:w="4253" w:x="1798" w:y="57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采购商品</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接受劳务情况表</w:t>
      </w:r>
    </w:p>
    <w:p>
      <w:pPr>
        <w:framePr w:w="4253" w:x="1798" w:y="57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69" w:x="1798" w:y="7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出售商品</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提供劳务情况表</w:t>
      </w:r>
    </w:p>
    <w:p>
      <w:pPr>
        <w:framePr w:w="2669" w:x="1798" w:y="730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253" w:x="1798" w:y="83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购销商品、提供和接受劳务的关联交易说明</w:t>
      </w:r>
    </w:p>
    <w:p>
      <w:pPr>
        <w:framePr w:w="4253" w:x="1798" w:y="836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4" w:x="1798" w:y="94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关联受托管理</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承包及委托管理</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出包情况</w:t>
      </w:r>
    </w:p>
    <w:p>
      <w:pPr>
        <w:framePr w:w="4464" w:x="1798" w:y="942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本公司受托管理</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承包情况表：</w:t>
      </w:r>
    </w:p>
    <w:p>
      <w:pPr>
        <w:framePr w:w="4464" w:x="1798" w:y="942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58" w:x="1798" w:y="110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关联托管</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承包情况说明</w:t>
      </w:r>
    </w:p>
    <w:p>
      <w:pPr>
        <w:framePr w:w="2458" w:x="1798" w:y="11007"/>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880" w:x="1798" w:y="120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本公司委托管理</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出包情况表</w:t>
      </w:r>
    </w:p>
    <w:p>
      <w:pPr>
        <w:framePr w:w="2880" w:x="1798" w:y="12063"/>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58" w:x="1798" w:y="1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关联管理</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出包情况说明</w:t>
      </w:r>
    </w:p>
    <w:p>
      <w:pPr>
        <w:framePr w:w="2458" w:x="1798" w:y="131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1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关联租赁情况</w:t>
      </w:r>
    </w:p>
    <w:p>
      <w:pPr>
        <w:framePr w:w="2141" w:x="1798" w:y="147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本公司作为出租方：</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50" type="#_x0000_t75" style="width:445.6pt;height:2.7pt;margin-top:53.65pt;margin-left:87.45pt;mso-position-horizontal-relative:page;mso-position-vertical-relative:page;position:absolute;z-index:-251333632">
            <v:imagedata r:id="rId361" o:title=""/>
          </v:shape>
        </w:pict>
      </w:r>
      <w:r>
        <w:rPr>
          <w:noProof/>
        </w:rPr>
        <w:pict>
          <v:shape id="_x0000_s1451" type="#_x0000_t75" style="width:454.95pt;height:73.05pt;margin-top:127.2pt;margin-left:83.25pt;mso-position-horizontal-relative:page;mso-position-vertical-relative:page;position:absolute;z-index:-251470848">
            <v:imagedata r:id="rId362" o:title=""/>
          </v:shape>
        </w:pict>
      </w:r>
    </w:p>
    <w:p>
      <w:pPr>
        <w:spacing w:line="0" w:lineRule="atLeast"/>
        <w:rPr>
          <w:rFonts w:ascii="Arial" w:eastAsiaTheme="minorEastAsia" w:hAnsiTheme="minorHAnsi" w:cstheme="minorBidi"/>
          <w:color w:val="FF0000"/>
          <w:sz w:val="2"/>
          <w:szCs w:val="22"/>
          <w:lang w:val="en-US" w:eastAsia="en-US" w:bidi="ar-SA"/>
        </w:rPr>
      </w:pPr>
      <w:bookmarkStart w:id="184" w:name="br1_183"/>
      <w:bookmarkEnd w:id="18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8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1"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本公司作为承租方：</w:t>
      </w:r>
    </w:p>
    <w:p>
      <w:pPr>
        <w:framePr w:w="2141"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0" w:x="1798"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关联租赁情况说明</w:t>
      </w:r>
    </w:p>
    <w:p>
      <w:pPr>
        <w:framePr w:w="1930" w:x="1798" w:y="312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关联担保情况</w:t>
      </w:r>
    </w:p>
    <w:p>
      <w:pPr>
        <w:framePr w:w="1932" w:x="1798" w:y="417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本公司作为担保方</w:t>
      </w:r>
    </w:p>
    <w:p>
      <w:pPr>
        <w:framePr w:w="1932" w:x="1798" w:y="417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1"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本公司作为被担保方</w:t>
      </w:r>
    </w:p>
    <w:p>
      <w:pPr>
        <w:framePr w:w="2141"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0" w:x="1798" w:y="6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关联担保情况说明</w:t>
      </w:r>
    </w:p>
    <w:p>
      <w:pPr>
        <w:framePr w:w="1930" w:x="1798" w:y="68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3" w:x="1798" w:y="7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关联方资金拆借</w:t>
      </w:r>
    </w:p>
    <w:p>
      <w:pPr>
        <w:framePr w:w="2143"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8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关联方资产转让、债务重组情况</w:t>
      </w:r>
    </w:p>
    <w:p>
      <w:pPr>
        <w:framePr w:w="3619" w:x="1798" w:y="8936"/>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1"/>
          <w:sz w:val="21"/>
          <w:szCs w:val="22"/>
          <w:lang w:val="en-US" w:eastAsia="en-US" w:bidi="ar-SA"/>
        </w:rPr>
        <w:t>关键管理人员报酬</w:t>
      </w:r>
    </w:p>
    <w:p>
      <w:pPr>
        <w:framePr w:w="2354" w:x="1798" w:y="99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63" w:x="8109" w:y="11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单位：万元</w:t>
      </w:r>
      <w:r>
        <w:rPr>
          <w:rFonts w:eastAsiaTheme="minorEastAsia" w:hAnsiTheme="minorHAnsi" w:cstheme="minorBidi"/>
          <w:color w:val="000000"/>
          <w:spacing w:val="155"/>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763" w:x="8109" w:y="11050"/>
        <w:widowControl w:val="0"/>
        <w:autoSpaceDE w:val="0"/>
        <w:autoSpaceDN w:val="0"/>
        <w:spacing w:before="72" w:line="211" w:lineRule="exact"/>
        <w:ind w:left="85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116" w:y="113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6075" w:y="113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930" w:x="1798" w:y="116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关键管理人员报酬</w:t>
      </w:r>
    </w:p>
    <w:p>
      <w:pPr>
        <w:framePr w:w="874" w:x="7499" w:y="116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324.90</w:t>
      </w:r>
    </w:p>
    <w:p>
      <w:pPr>
        <w:framePr w:w="874" w:x="10000" w:y="116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295.76</w:t>
      </w:r>
    </w:p>
    <w:p>
      <w:pPr>
        <w:framePr w:w="2566" w:x="1798" w:y="120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pacing w:val="1"/>
          <w:sz w:val="21"/>
          <w:szCs w:val="22"/>
          <w:lang w:val="en-US" w:eastAsia="en-US" w:bidi="ar-SA"/>
        </w:rPr>
        <w:t>其他关联交易</w:t>
      </w:r>
    </w:p>
    <w:p>
      <w:pPr>
        <w:framePr w:w="2566" w:x="1798" w:y="1201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6" w:x="1798" w:y="1201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关联方应收应付款项</w:t>
      </w:r>
    </w:p>
    <w:p>
      <w:pPr>
        <w:framePr w:w="2566" w:x="1798" w:y="1201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应收项目</w:t>
      </w:r>
    </w:p>
    <w:p>
      <w:pPr>
        <w:framePr w:w="1922" w:x="1798" w:y="141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52" type="#_x0000_t75" style="width:445.6pt;height:2.7pt;margin-top:53.65pt;margin-left:87.45pt;mso-position-horizontal-relative:page;mso-position-vertical-relative:page;position:absolute;z-index:-251332608">
            <v:imagedata r:id="rId363" o:title=""/>
          </v:shape>
        </w:pict>
      </w:r>
      <w:r>
        <w:rPr>
          <w:noProof/>
        </w:rPr>
        <w:pict>
          <v:shape id="_x0000_s1453" type="#_x0000_t75" style="width:454.95pt;height:30.7pt;margin-top:563.7pt;margin-left:83.25pt;mso-position-horizontal-relative:page;mso-position-vertical-relative:page;position:absolute;z-index:-251469824">
            <v:imagedata r:id="rId364" o:title=""/>
          </v:shape>
        </w:pict>
      </w:r>
    </w:p>
    <w:p>
      <w:pPr>
        <w:spacing w:line="0" w:lineRule="atLeast"/>
        <w:rPr>
          <w:rFonts w:ascii="Arial" w:eastAsiaTheme="minorEastAsia" w:hAnsiTheme="minorHAnsi" w:cstheme="minorBidi"/>
          <w:color w:val="FF0000"/>
          <w:sz w:val="2"/>
          <w:szCs w:val="22"/>
          <w:lang w:val="en-US" w:eastAsia="en-US" w:bidi="ar-SA"/>
        </w:rPr>
      </w:pPr>
      <w:bookmarkStart w:id="185" w:name="br1_184"/>
      <w:bookmarkEnd w:id="18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应付项目</w:t>
      </w:r>
    </w:p>
    <w:p>
      <w:pPr>
        <w:framePr w:w="1922"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2"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关联方承诺</w:t>
      </w:r>
    </w:p>
    <w:p>
      <w:pPr>
        <w:framePr w:w="1922"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2"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3"/>
          <w:sz w:val="20"/>
          <w:szCs w:val="22"/>
          <w:lang w:val="en-US" w:eastAsia="en-US" w:bidi="ar-SA"/>
        </w:rPr>
        <w:t>8</w:t>
      </w:r>
      <w:r>
        <w:rPr>
          <w:rFonts w:ascii="SimSun" w:hAnsi="SimSun" w:eastAsiaTheme="minorEastAsia" w:cs="SimSun"/>
          <w:color w:val="000000"/>
          <w:sz w:val="20"/>
          <w:szCs w:val="22"/>
          <w:lang w:val="en-US" w:eastAsia="en-US" w:bidi="ar-SA"/>
        </w:rPr>
        <w:t>、</w:t>
      </w:r>
      <w:r>
        <w:rPr>
          <w:rFonts w:eastAsiaTheme="minorEastAsia" w:hAnsiTheme="minorHAnsi" w:cstheme="minorBidi"/>
          <w:color w:val="000000"/>
          <w:spacing w:val="72"/>
          <w:sz w:val="20"/>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2354"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417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十三、</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股份支付</w:t>
      </w:r>
    </w:p>
    <w:p>
      <w:pPr>
        <w:framePr w:w="2354" w:x="1798" w:y="417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股份支付总体情况</w:t>
      </w:r>
    </w:p>
    <w:p>
      <w:pPr>
        <w:framePr w:w="2354" w:x="1798" w:y="417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单位：股</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3408" w:x="1798" w:y="65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公司本期授予的各项权益工具总额</w:t>
      </w:r>
    </w:p>
    <w:p>
      <w:pPr>
        <w:framePr w:w="3408" w:x="1798" w:y="65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公司本期行权的各项权益工具总额</w:t>
      </w:r>
    </w:p>
    <w:p>
      <w:pPr>
        <w:framePr w:w="3408" w:x="1798" w:y="657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公司本期失效的各项权益工具总额</w:t>
      </w:r>
    </w:p>
    <w:p>
      <w:pPr>
        <w:framePr w:w="1613" w:x="9266" w:y="65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13,367,900.00</w:t>
      </w:r>
    </w:p>
    <w:p>
      <w:pPr>
        <w:framePr w:w="1613" w:x="9266" w:y="6576"/>
        <w:widowControl w:val="0"/>
        <w:autoSpaceDE w:val="0"/>
        <w:autoSpaceDN w:val="0"/>
        <w:spacing w:before="72" w:line="211" w:lineRule="exact"/>
        <w:ind w:left="94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662" w:x="10212" w:y="71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5519" w:x="1798" w:y="74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公司期末发行在外的股票期权行权价格的范围和</w:t>
      </w:r>
      <w:r>
        <w:rPr>
          <w:rFonts w:eastAsiaTheme="minorEastAsia" w:hAnsiTheme="minorHAnsi" w:cstheme="minorBidi"/>
          <w:color w:val="000000"/>
          <w:spacing w:val="17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不适用</w:t>
      </w:r>
    </w:p>
    <w:p>
      <w:pPr>
        <w:framePr w:w="5519" w:x="1798" w:y="742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合同剩余期限</w:t>
      </w:r>
    </w:p>
    <w:p>
      <w:pPr>
        <w:framePr w:w="8879" w:x="1798" w:y="79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公司期末发行在外的其他权益工具行权价格的范</w:t>
      </w:r>
      <w:r>
        <w:rPr>
          <w:rFonts w:eastAsiaTheme="minorEastAsia" w:hAnsiTheme="minorHAnsi" w:cstheme="minorBidi"/>
          <w:color w:val="000000"/>
          <w:spacing w:val="179"/>
          <w:sz w:val="21"/>
          <w:szCs w:val="22"/>
          <w:lang w:val="en-US" w:eastAsia="en-US" w:bidi="ar-SA"/>
        </w:rPr>
        <w:t xml:space="preserve"> </w:t>
      </w:r>
      <w:r>
        <w:rPr>
          <w:rFonts w:ascii="SimSun" w:hAnsi="SimSun" w:eastAsiaTheme="minorEastAsia" w:cs="SimSun"/>
          <w:color w:val="000000"/>
          <w:sz w:val="21"/>
          <w:szCs w:val="22"/>
          <w:lang w:val="en-US" w:eastAsia="en-US" w:bidi="ar-SA"/>
        </w:rPr>
        <w:t>首次授予限制性股票的行权价格为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7.91</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z w:val="21"/>
          <w:szCs w:val="22"/>
          <w:lang w:val="en-US" w:eastAsia="en-US" w:bidi="ar-SA"/>
        </w:rPr>
        <w:t>/</w:t>
      </w:r>
    </w:p>
    <w:p>
      <w:pPr>
        <w:framePr w:w="1930" w:x="1798" w:y="82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围和合同剩余期限</w:t>
      </w:r>
    </w:p>
    <w:p>
      <w:pPr>
        <w:framePr w:w="1930" w:x="1798" w:y="825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3236" w:x="6443" w:y="82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股，有效期至</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2022</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55"/>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日</w:t>
      </w:r>
    </w:p>
    <w:p>
      <w:pPr>
        <w:framePr w:w="9179" w:x="1798" w:y="892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日，公司召开第三届董事会第十八次会议审议通过了《关于向公司</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p>
    <w:p>
      <w:pPr>
        <w:framePr w:w="9179" w:x="1798" w:y="892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限制性股票激励计划激励对象授予限制性股票的议案》，确定以</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z w:val="21"/>
          <w:szCs w:val="22"/>
          <w:lang w:val="en-US" w:eastAsia="en-US" w:bidi="ar-SA"/>
        </w:rPr>
        <w:t>日作为本激励计划</w:t>
      </w:r>
    </w:p>
    <w:p>
      <w:pPr>
        <w:framePr w:w="9179" w:x="1798" w:y="892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的授予日，按</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7.91</w:t>
      </w:r>
      <w:r>
        <w:rPr>
          <w:rFonts w:ascii="SimSun" w:hAnsi="SimSun" w:eastAsiaTheme="minorEastAsia" w:cs="SimSun"/>
          <w:color w:val="000000"/>
          <w:spacing w:val="2"/>
          <w:sz w:val="21"/>
          <w:szCs w:val="22"/>
          <w:lang w:val="en-US" w:eastAsia="en-US" w:bidi="ar-SA"/>
        </w:rPr>
        <w:t>元</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股的授予价格向符合授予条件的</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34</w:t>
      </w:r>
      <w:r>
        <w:rPr>
          <w:rFonts w:ascii="SimSun" w:hAnsi="SimSun" w:eastAsiaTheme="minorEastAsia" w:cs="SimSun"/>
          <w:color w:val="000000"/>
          <w:sz w:val="21"/>
          <w:szCs w:val="22"/>
          <w:lang w:val="en-US" w:eastAsia="en-US" w:bidi="ar-SA"/>
        </w:rPr>
        <w:t>名激励对象授予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pacing w:val="1"/>
          <w:sz w:val="21"/>
          <w:szCs w:val="22"/>
          <w:lang w:val="en-US" w:eastAsia="en-US" w:bidi="ar-SA"/>
        </w:rPr>
        <w:t>万股限制性股票。</w:t>
      </w:r>
    </w:p>
    <w:p>
      <w:pPr>
        <w:framePr w:w="2563" w:x="2218" w:y="102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限售期和解除限售安排</w:t>
      </w:r>
    </w:p>
    <w:p>
      <w:pPr>
        <w:framePr w:w="7843" w:x="2218" w:y="107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本激励计划授予的限制性股票的解除限售期及各期解除限售时间安排如下表所示：</w:t>
      </w:r>
    </w:p>
    <w:p>
      <w:pPr>
        <w:framePr w:w="1507" w:x="2110" w:y="115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解除限售安排</w:t>
      </w:r>
    </w:p>
    <w:p>
      <w:pPr>
        <w:framePr w:w="1507" w:x="5792" w:y="115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解除限售时间</w:t>
      </w:r>
    </w:p>
    <w:p>
      <w:pPr>
        <w:framePr w:w="1507" w:x="9266" w:y="115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解除限售比例</w:t>
      </w:r>
    </w:p>
    <w:p>
      <w:pPr>
        <w:framePr w:w="5309" w:x="3841" w:y="120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自限制性股票授予登记完成之日起</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个月后的首个交易</w:t>
      </w:r>
    </w:p>
    <w:p>
      <w:pPr>
        <w:framePr w:w="7225" w:x="1901" w:y="122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第一个解除限售期</w:t>
      </w:r>
      <w:r>
        <w:rPr>
          <w:rFonts w:eastAsiaTheme="minorEastAsia" w:hAnsiTheme="minorHAnsi" w:cstheme="minorBidi"/>
          <w:color w:val="000000"/>
          <w:spacing w:val="206"/>
          <w:sz w:val="21"/>
          <w:szCs w:val="22"/>
          <w:lang w:val="en-US" w:eastAsia="en-US" w:bidi="ar-SA"/>
        </w:rPr>
        <w:t xml:space="preserve"> </w:t>
      </w:r>
      <w:r>
        <w:rPr>
          <w:rFonts w:ascii="SimSun" w:hAnsi="SimSun" w:eastAsiaTheme="minorEastAsia" w:cs="SimSun"/>
          <w:color w:val="000000"/>
          <w:sz w:val="21"/>
          <w:szCs w:val="22"/>
          <w:lang w:val="en-US" w:eastAsia="en-US" w:bidi="ar-SA"/>
        </w:rPr>
        <w:t>日起至限制性股票授予登记完成之日起</w:t>
      </w:r>
      <w:r>
        <w:rPr>
          <w:rFonts w:ascii="SimSun" w:eastAsiaTheme="minorEastAsia" w:hAnsiTheme="minorHAnsi" w:cstheme="minorBidi"/>
          <w:color w:val="000000"/>
          <w:spacing w:val="-1"/>
          <w:sz w:val="21"/>
          <w:szCs w:val="22"/>
          <w:lang w:val="en-US" w:eastAsia="en-US" w:bidi="ar-SA"/>
        </w:rPr>
        <w:t>24</w:t>
      </w:r>
      <w:r>
        <w:rPr>
          <w:rFonts w:ascii="SimSun" w:hAnsi="SimSun" w:eastAsiaTheme="minorEastAsia" w:cs="SimSun"/>
          <w:color w:val="000000"/>
          <w:sz w:val="21"/>
          <w:szCs w:val="22"/>
          <w:lang w:val="en-US" w:eastAsia="en-US" w:bidi="ar-SA"/>
        </w:rPr>
        <w:t>个月内的最后</w:t>
      </w:r>
    </w:p>
    <w:p>
      <w:pPr>
        <w:framePr w:w="7225" w:x="1901" w:y="12277"/>
        <w:widowControl w:val="0"/>
        <w:autoSpaceDE w:val="0"/>
        <w:autoSpaceDN w:val="0"/>
        <w:spacing w:before="62" w:line="211" w:lineRule="exact"/>
        <w:ind w:left="194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一个交易日当日止</w:t>
      </w:r>
    </w:p>
    <w:p>
      <w:pPr>
        <w:framePr w:w="557" w:x="9741" w:y="122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30%</w:t>
      </w:r>
    </w:p>
    <w:p>
      <w:pPr>
        <w:framePr w:w="7225" w:x="1901" w:y="12832"/>
        <w:widowControl w:val="0"/>
        <w:autoSpaceDE w:val="0"/>
        <w:autoSpaceDN w:val="0"/>
        <w:spacing w:line="211" w:lineRule="exact"/>
        <w:ind w:left="194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自限制性股票授予登记完成之日起</w:t>
      </w:r>
      <w:r>
        <w:rPr>
          <w:rFonts w:ascii="SimSun" w:eastAsiaTheme="minorEastAsia" w:hAnsiTheme="minorHAnsi" w:cstheme="minorBidi"/>
          <w:color w:val="000000"/>
          <w:spacing w:val="-1"/>
          <w:sz w:val="21"/>
          <w:szCs w:val="22"/>
          <w:lang w:val="en-US" w:eastAsia="en-US" w:bidi="ar-SA"/>
        </w:rPr>
        <w:t>24</w:t>
      </w:r>
      <w:r>
        <w:rPr>
          <w:rFonts w:ascii="SimSun" w:hAnsi="SimSun" w:eastAsiaTheme="minorEastAsia" w:cs="SimSun"/>
          <w:color w:val="000000"/>
          <w:sz w:val="21"/>
          <w:szCs w:val="22"/>
          <w:lang w:val="en-US" w:eastAsia="en-US" w:bidi="ar-SA"/>
        </w:rPr>
        <w:t>个月后的首个交易</w:t>
      </w:r>
    </w:p>
    <w:p>
      <w:pPr>
        <w:framePr w:w="7225" w:x="1901" w:y="1283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第二个解除限售期</w:t>
      </w:r>
      <w:r>
        <w:rPr>
          <w:rFonts w:eastAsiaTheme="minorEastAsia" w:hAnsiTheme="minorHAnsi" w:cstheme="minorBidi"/>
          <w:color w:val="000000"/>
          <w:spacing w:val="206"/>
          <w:sz w:val="21"/>
          <w:szCs w:val="22"/>
          <w:lang w:val="en-US" w:eastAsia="en-US" w:bidi="ar-SA"/>
        </w:rPr>
        <w:t xml:space="preserve"> </w:t>
      </w:r>
      <w:r>
        <w:rPr>
          <w:rFonts w:ascii="SimSun" w:hAnsi="SimSun" w:eastAsiaTheme="minorEastAsia" w:cs="SimSun"/>
          <w:color w:val="000000"/>
          <w:sz w:val="21"/>
          <w:szCs w:val="22"/>
          <w:lang w:val="en-US" w:eastAsia="en-US" w:bidi="ar-SA"/>
        </w:rPr>
        <w:t>日起至限制性股票授予登记完成之日起</w:t>
      </w:r>
      <w:r>
        <w:rPr>
          <w:rFonts w:ascii="SimSun" w:eastAsiaTheme="minorEastAsia" w:hAnsiTheme="minorHAnsi" w:cstheme="minorBidi"/>
          <w:color w:val="000000"/>
          <w:spacing w:val="-1"/>
          <w:sz w:val="21"/>
          <w:szCs w:val="22"/>
          <w:lang w:val="en-US" w:eastAsia="en-US" w:bidi="ar-SA"/>
        </w:rPr>
        <w:t>36</w:t>
      </w:r>
      <w:r>
        <w:rPr>
          <w:rFonts w:ascii="SimSun" w:hAnsi="SimSun" w:eastAsiaTheme="minorEastAsia" w:cs="SimSun"/>
          <w:color w:val="000000"/>
          <w:sz w:val="21"/>
          <w:szCs w:val="22"/>
          <w:lang w:val="en-US" w:eastAsia="en-US" w:bidi="ar-SA"/>
        </w:rPr>
        <w:t>个月内的最后</w:t>
      </w:r>
    </w:p>
    <w:p>
      <w:pPr>
        <w:framePr w:w="7225" w:x="1901" w:y="12832"/>
        <w:widowControl w:val="0"/>
        <w:autoSpaceDE w:val="0"/>
        <w:autoSpaceDN w:val="0"/>
        <w:spacing w:before="60" w:line="211" w:lineRule="exact"/>
        <w:ind w:left="194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一个交易日当日止</w:t>
      </w:r>
    </w:p>
    <w:p>
      <w:pPr>
        <w:framePr w:w="557" w:x="9741" w:y="131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30%</w:t>
      </w:r>
    </w:p>
    <w:p>
      <w:pPr>
        <w:framePr w:w="557" w:x="9741" w:y="13105"/>
        <w:widowControl w:val="0"/>
        <w:autoSpaceDE w:val="0"/>
        <w:autoSpaceDN w:val="0"/>
        <w:spacing w:before="61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40%</w:t>
      </w:r>
    </w:p>
    <w:p>
      <w:pPr>
        <w:framePr w:w="7225" w:x="1901" w:y="13660"/>
        <w:widowControl w:val="0"/>
        <w:autoSpaceDE w:val="0"/>
        <w:autoSpaceDN w:val="0"/>
        <w:spacing w:line="211" w:lineRule="exact"/>
        <w:ind w:left="194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自限制性股票授予登记完成之日起</w:t>
      </w:r>
      <w:r>
        <w:rPr>
          <w:rFonts w:ascii="SimSun" w:eastAsiaTheme="minorEastAsia" w:hAnsiTheme="minorHAnsi" w:cstheme="minorBidi"/>
          <w:color w:val="000000"/>
          <w:spacing w:val="-1"/>
          <w:sz w:val="21"/>
          <w:szCs w:val="22"/>
          <w:lang w:val="en-US" w:eastAsia="en-US" w:bidi="ar-SA"/>
        </w:rPr>
        <w:t>36</w:t>
      </w:r>
      <w:r>
        <w:rPr>
          <w:rFonts w:ascii="SimSun" w:hAnsi="SimSun" w:eastAsiaTheme="minorEastAsia" w:cs="SimSun"/>
          <w:color w:val="000000"/>
          <w:sz w:val="21"/>
          <w:szCs w:val="22"/>
          <w:lang w:val="en-US" w:eastAsia="en-US" w:bidi="ar-SA"/>
        </w:rPr>
        <w:t>个月后的首个交易</w:t>
      </w:r>
    </w:p>
    <w:p>
      <w:pPr>
        <w:framePr w:w="7225" w:x="1901" w:y="1366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第三个解除限售期</w:t>
      </w:r>
      <w:r>
        <w:rPr>
          <w:rFonts w:eastAsiaTheme="minorEastAsia" w:hAnsiTheme="minorHAnsi" w:cstheme="minorBidi"/>
          <w:color w:val="000000"/>
          <w:spacing w:val="206"/>
          <w:sz w:val="21"/>
          <w:szCs w:val="22"/>
          <w:lang w:val="en-US" w:eastAsia="en-US" w:bidi="ar-SA"/>
        </w:rPr>
        <w:t xml:space="preserve"> </w:t>
      </w:r>
      <w:r>
        <w:rPr>
          <w:rFonts w:ascii="SimSun" w:hAnsi="SimSun" w:eastAsiaTheme="minorEastAsia" w:cs="SimSun"/>
          <w:color w:val="000000"/>
          <w:sz w:val="21"/>
          <w:szCs w:val="22"/>
          <w:lang w:val="en-US" w:eastAsia="en-US" w:bidi="ar-SA"/>
        </w:rPr>
        <w:t>日起至限制性股票授予登记完成之日起</w:t>
      </w:r>
      <w:r>
        <w:rPr>
          <w:rFonts w:ascii="SimSun" w:eastAsiaTheme="minorEastAsia" w:hAnsiTheme="minorHAnsi" w:cstheme="minorBidi"/>
          <w:color w:val="000000"/>
          <w:spacing w:val="-1"/>
          <w:sz w:val="21"/>
          <w:szCs w:val="22"/>
          <w:lang w:val="en-US" w:eastAsia="en-US" w:bidi="ar-SA"/>
        </w:rPr>
        <w:t>48</w:t>
      </w:r>
      <w:r>
        <w:rPr>
          <w:rFonts w:ascii="SimSun" w:hAnsi="SimSun" w:eastAsiaTheme="minorEastAsia" w:cs="SimSun"/>
          <w:color w:val="000000"/>
          <w:sz w:val="21"/>
          <w:szCs w:val="22"/>
          <w:lang w:val="en-US" w:eastAsia="en-US" w:bidi="ar-SA"/>
        </w:rPr>
        <w:t>个月内的最后</w:t>
      </w:r>
    </w:p>
    <w:p>
      <w:pPr>
        <w:framePr w:w="7225" w:x="1901" w:y="13660"/>
        <w:widowControl w:val="0"/>
        <w:autoSpaceDE w:val="0"/>
        <w:autoSpaceDN w:val="0"/>
        <w:spacing w:before="62" w:line="211" w:lineRule="exact"/>
        <w:ind w:left="194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一个交易日当日止</w:t>
      </w:r>
    </w:p>
    <w:p>
      <w:pPr>
        <w:framePr w:w="3077" w:x="2218" w:y="146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限制性股票的解除限售条件</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54" type="#_x0000_t75" style="width:445.6pt;height:2.7pt;margin-top:53.65pt;margin-left:87.45pt;mso-position-horizontal-relative:page;mso-position-vertical-relative:page;position:absolute;z-index:-251241472">
            <v:imagedata r:id="rId365" o:title=""/>
          </v:shape>
        </w:pict>
      </w:r>
      <w:r>
        <w:rPr>
          <w:noProof/>
        </w:rPr>
        <w:pict>
          <v:shape id="_x0000_s1455" type="#_x0000_t75" style="width:454.95pt;height:100.3pt;margin-top:325.85pt;margin-left:83.25pt;mso-position-horizontal-relative:page;mso-position-vertical-relative:page;position:absolute;z-index:-251331584">
            <v:imagedata r:id="rId366" o:title=""/>
          </v:shape>
        </w:pict>
      </w:r>
      <w:r>
        <w:rPr>
          <w:noProof/>
        </w:rPr>
        <w:pict>
          <v:shape id="_x0000_s1456" type="#_x0000_t75" style="width:449.8pt;height:160.9pt;margin-top:563.95pt;margin-left:85.9pt;mso-position-horizontal-relative:page;mso-position-vertical-relative:page;position:absolute;z-index:-251468800">
            <v:imagedata r:id="rId367" o:title=""/>
          </v:shape>
        </w:pict>
      </w:r>
    </w:p>
    <w:p>
      <w:pPr>
        <w:spacing w:line="0" w:lineRule="atLeast"/>
        <w:rPr>
          <w:rFonts w:ascii="Arial" w:eastAsiaTheme="minorEastAsia" w:hAnsiTheme="minorHAnsi" w:cstheme="minorBidi"/>
          <w:color w:val="FF0000"/>
          <w:sz w:val="2"/>
          <w:szCs w:val="22"/>
          <w:lang w:val="en-US" w:eastAsia="en-US" w:bidi="ar-SA"/>
        </w:rPr>
      </w:pPr>
      <w:bookmarkStart w:id="186" w:name="br1_185"/>
      <w:bookmarkEnd w:id="18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669"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）公司层面业绩考核要求</w:t>
      </w:r>
    </w:p>
    <w:p>
      <w:pPr>
        <w:framePr w:w="8658" w:x="221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本激励计划的解除限售考核年度为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6"/>
          <w:sz w:val="21"/>
          <w:szCs w:val="22"/>
          <w:lang w:val="en-US" w:eastAsia="en-US" w:bidi="ar-SA"/>
        </w:rPr>
        <w:t>年度、</w:t>
      </w: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z w:val="21"/>
          <w:szCs w:val="22"/>
          <w:lang w:val="en-US" w:eastAsia="en-US" w:bidi="ar-SA"/>
        </w:rPr>
        <w:t>年度和</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2022</w:t>
      </w:r>
      <w:r>
        <w:rPr>
          <w:rFonts w:ascii="SimSun" w:hAnsi="SimSun" w:eastAsiaTheme="minorEastAsia" w:cs="SimSun"/>
          <w:color w:val="000000"/>
          <w:spacing w:val="-2"/>
          <w:sz w:val="21"/>
          <w:szCs w:val="22"/>
          <w:lang w:val="en-US" w:eastAsia="en-US" w:bidi="ar-SA"/>
        </w:rPr>
        <w:t>年度三个会计年度，每个会</w:t>
      </w:r>
    </w:p>
    <w:p>
      <w:pPr>
        <w:framePr w:w="5098"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计年度考核一次，各年度业绩考核目标如下表所示：</w:t>
      </w:r>
    </w:p>
    <w:p>
      <w:pPr>
        <w:framePr w:w="1296" w:x="2283" w:y="31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解除限售期</w:t>
      </w:r>
    </w:p>
    <w:p>
      <w:pPr>
        <w:framePr w:w="1507" w:x="4295" w:y="31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业绩考核目标</w:t>
      </w:r>
    </w:p>
    <w:p>
      <w:pPr>
        <w:framePr w:w="2352" w:x="3872" w:y="36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公司需满足下列条件：</w:t>
      </w:r>
    </w:p>
    <w:p>
      <w:pPr>
        <w:framePr w:w="1930" w:x="1860" w:y="39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第一个解除限售期</w:t>
      </w:r>
    </w:p>
    <w:p>
      <w:pPr>
        <w:framePr w:w="5912" w:x="3872" w:y="41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年营业收入为基准，</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年营业收入增长率不低于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w:t>
      </w:r>
    </w:p>
    <w:p>
      <w:pPr>
        <w:framePr w:w="5912" w:x="3872" w:y="4104"/>
        <w:widowControl w:val="0"/>
        <w:autoSpaceDE w:val="0"/>
        <w:autoSpaceDN w:val="0"/>
        <w:spacing w:before="2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公司需满足下列条件：</w:t>
      </w:r>
    </w:p>
    <w:p>
      <w:pPr>
        <w:framePr w:w="1930" w:x="1860" w:y="47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第二个解除限售期</w:t>
      </w:r>
    </w:p>
    <w:p>
      <w:pPr>
        <w:framePr w:w="1930" w:x="1860" w:y="4733"/>
        <w:widowControl w:val="0"/>
        <w:autoSpaceDE w:val="0"/>
        <w:autoSpaceDN w:val="0"/>
        <w:spacing w:before="6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第三个解除限售期</w:t>
      </w:r>
    </w:p>
    <w:p>
      <w:pPr>
        <w:framePr w:w="6227" w:x="3872" w:y="4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年营业收入为基准，</w:t>
      </w: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z w:val="21"/>
          <w:szCs w:val="22"/>
          <w:lang w:val="en-US" w:eastAsia="en-US" w:bidi="ar-SA"/>
        </w:rPr>
        <w:t>年营业收入增长率不低于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w:t>
      </w:r>
      <w:r>
        <w:rPr>
          <w:rFonts w:ascii="SimSun" w:hAnsi="SimSun" w:eastAsiaTheme="minorEastAsia" w:cs="SimSun"/>
          <w:color w:val="000000"/>
          <w:sz w:val="21"/>
          <w:szCs w:val="22"/>
          <w:lang w:val="en-US" w:eastAsia="en-US" w:bidi="ar-SA"/>
        </w:rPr>
        <w:t>。</w:t>
      </w:r>
    </w:p>
    <w:p>
      <w:pPr>
        <w:framePr w:w="6227" w:x="3872" w:y="4937"/>
        <w:widowControl w:val="0"/>
        <w:autoSpaceDE w:val="0"/>
        <w:autoSpaceDN w:val="0"/>
        <w:spacing w:before="21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公司需满足下列条件：</w:t>
      </w:r>
    </w:p>
    <w:p>
      <w:pPr>
        <w:framePr w:w="6227" w:x="3872" w:y="5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年营业收入为基准，</w:t>
      </w:r>
      <w:r>
        <w:rPr>
          <w:rFonts w:ascii="SimSun" w:eastAsiaTheme="minorEastAsia" w:hAnsiTheme="minorHAnsi" w:cstheme="minorBidi"/>
          <w:color w:val="000000"/>
          <w:sz w:val="21"/>
          <w:szCs w:val="22"/>
          <w:lang w:val="en-US" w:eastAsia="en-US" w:bidi="ar-SA"/>
        </w:rPr>
        <w:t>2022</w:t>
      </w:r>
      <w:r>
        <w:rPr>
          <w:rFonts w:ascii="SimSun" w:hAnsi="SimSun" w:eastAsiaTheme="minorEastAsia" w:cs="SimSun"/>
          <w:color w:val="000000"/>
          <w:sz w:val="21"/>
          <w:szCs w:val="22"/>
          <w:lang w:val="en-US" w:eastAsia="en-US" w:bidi="ar-SA"/>
        </w:rPr>
        <w:t>年营业收入增长率不低于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w:t>
      </w:r>
    </w:p>
    <w:p>
      <w:pPr>
        <w:framePr w:w="9068" w:x="1798" w:y="632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注：上述“营业收入”以经公司聘请的具有证券期货从业资格的会计师事务所审计的合并报</w:t>
      </w:r>
    </w:p>
    <w:p>
      <w:pPr>
        <w:framePr w:w="9068" w:x="1798" w:y="632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表所载数据为计算依据。</w:t>
      </w:r>
    </w:p>
    <w:p>
      <w:pPr>
        <w:framePr w:w="2669" w:x="2218" w:y="72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）个人层面绩效考核要求</w:t>
      </w:r>
    </w:p>
    <w:p>
      <w:pPr>
        <w:framePr w:w="9110" w:x="1798" w:y="767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激励对象的个人层面绩效考核按照公司现行薪酬与考核的相关规定组织实施，并依照激励对</w:t>
      </w:r>
    </w:p>
    <w:p>
      <w:pPr>
        <w:framePr w:w="9110" w:x="1798" w:y="76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象的考核结果确定其实际解除限售额度。激励对象的绩效考核结果划分为优秀、良好、不合格三</w:t>
      </w:r>
    </w:p>
    <w:p>
      <w:pPr>
        <w:framePr w:w="9110" w:x="1798" w:y="76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个档次，考核评价表适用于考核对象。届时根据下表确定激励对象的实际解除限售额度：</w:t>
      </w:r>
    </w:p>
    <w:p>
      <w:pPr>
        <w:framePr w:w="1085" w:x="4079" w:y="89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考核评级</w:t>
      </w:r>
    </w:p>
    <w:p>
      <w:pPr>
        <w:framePr w:w="1085" w:x="4079" w:y="8929"/>
        <w:widowControl w:val="0"/>
        <w:autoSpaceDE w:val="0"/>
        <w:autoSpaceDN w:val="0"/>
        <w:spacing w:before="20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标准系数</w:t>
      </w:r>
    </w:p>
    <w:p>
      <w:pPr>
        <w:framePr w:w="662" w:x="5735" w:y="89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优秀</w:t>
      </w:r>
    </w:p>
    <w:p>
      <w:pPr>
        <w:framePr w:w="662" w:x="6810" w:y="89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良好</w:t>
      </w:r>
    </w:p>
    <w:p>
      <w:pPr>
        <w:framePr w:w="874" w:x="7909" w:y="89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不合格</w:t>
      </w:r>
    </w:p>
    <w:p>
      <w:pPr>
        <w:framePr w:w="557" w:x="6337" w:y="93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w:t>
      </w:r>
    </w:p>
    <w:p>
      <w:pPr>
        <w:framePr w:w="346" w:x="8157" w:y="93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9187" w:x="1798" w:y="9774"/>
        <w:widowControl w:val="0"/>
        <w:autoSpaceDE w:val="0"/>
        <w:autoSpaceDN w:val="0"/>
        <w:spacing w:line="234"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若各年度公司层面业绩考核达标，激励对象个人当年实际解除限售额度</w:t>
      </w:r>
      <w:r>
        <w:rPr>
          <w:rFonts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个人当年计划解除限</w:t>
      </w:r>
    </w:p>
    <w:p>
      <w:pPr>
        <w:framePr w:w="9187" w:x="1798" w:y="9774"/>
        <w:widowControl w:val="0"/>
        <w:autoSpaceDE w:val="0"/>
        <w:autoSpaceDN w:val="0"/>
        <w:spacing w:before="174" w:line="234"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售额度</w:t>
      </w:r>
      <w:r>
        <w:rPr>
          <w:rFonts w:eastAsiaTheme="minorEastAsia"/>
          <w:color w:val="000000"/>
          <w:spacing w:val="-1"/>
          <w:sz w:val="21"/>
          <w:szCs w:val="22"/>
          <w:lang w:val="en-US" w:eastAsia="en-US" w:bidi="ar-SA"/>
        </w:rPr>
        <w:t>×</w:t>
      </w:r>
      <w:r>
        <w:rPr>
          <w:rFonts w:ascii="SimSun" w:hAnsi="SimSun" w:eastAsiaTheme="minorEastAsia" w:cs="SimSun"/>
          <w:color w:val="000000"/>
          <w:sz w:val="21"/>
          <w:szCs w:val="22"/>
          <w:lang w:val="en-US" w:eastAsia="en-US" w:bidi="ar-SA"/>
        </w:rPr>
        <w:t>标准系数。</w:t>
      </w:r>
    </w:p>
    <w:p>
      <w:pPr>
        <w:framePr w:w="3194" w:x="1798" w:y="106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以权益结算的股份支付情况</w:t>
      </w:r>
    </w:p>
    <w:p>
      <w:pPr>
        <w:framePr w:w="1817" w:x="1798" w:y="109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2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3619" w:x="1798" w:y="115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授予日权益工具公允价值的确定方法</w:t>
      </w:r>
    </w:p>
    <w:p>
      <w:pPr>
        <w:framePr w:w="4464" w:x="6443" w:y="115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公司以授予日公司股票的市场价格为基础，对</w:t>
      </w:r>
    </w:p>
    <w:p>
      <w:pPr>
        <w:framePr w:w="4464" w:x="6443" w:y="1154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限制性股票的公允价值进行计量。在测算日，</w:t>
      </w:r>
    </w:p>
    <w:p>
      <w:pPr>
        <w:framePr w:w="4464" w:x="6443" w:y="1154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每股限制性股票的股份支付公允价值</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公司股</w:t>
      </w:r>
    </w:p>
    <w:p>
      <w:pPr>
        <w:framePr w:w="4464" w:x="6443" w:y="11545"/>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票的市场价格</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授予价格。最终授予日市场价</w:t>
      </w:r>
    </w:p>
    <w:p>
      <w:pPr>
        <w:framePr w:w="4464" w:x="6443" w:y="1154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格以实际授予日收盘价为准。</w:t>
      </w:r>
    </w:p>
    <w:p>
      <w:pPr>
        <w:framePr w:w="4464" w:x="6443" w:y="1154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预计可行权人数</w:t>
      </w:r>
    </w:p>
    <w:p>
      <w:pPr>
        <w:framePr w:w="3197" w:x="1798" w:y="129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可行权权益工具数量的确定依据</w:t>
      </w:r>
    </w:p>
    <w:p>
      <w:pPr>
        <w:framePr w:w="4675" w:x="1798" w:y="131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本期估计与上期估计有重大差异的原因</w:t>
      </w:r>
    </w:p>
    <w:p>
      <w:pPr>
        <w:framePr w:w="4675" w:x="1798" w:y="1319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以权益结算的股份支付计入资本公积的累计金额</w:t>
      </w:r>
    </w:p>
    <w:p>
      <w:pPr>
        <w:framePr w:w="4675" w:x="1798" w:y="1319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本期以权益结算的股份支付确认的费用总额</w:t>
      </w:r>
    </w:p>
    <w:p>
      <w:pPr>
        <w:framePr w:w="874" w:x="6443" w:y="131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1507" w:x="9372" w:y="134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3,644,300.00</w:t>
      </w:r>
    </w:p>
    <w:p>
      <w:pPr>
        <w:framePr w:w="1507" w:x="9372" w:y="137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3,644,300.00</w:t>
      </w:r>
    </w:p>
    <w:p>
      <w:pPr>
        <w:framePr w:w="1085" w:x="1798" w:y="141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085" w:x="1798" w:y="141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57" type="#_x0000_t75" style="width:445.6pt;height:2.7pt;margin-top:53.65pt;margin-left:87.45pt;mso-position-horizontal-relative:page;mso-position-vertical-relative:page;position:absolute;z-index:-251196416">
            <v:imagedata r:id="rId368" o:title=""/>
          </v:shape>
        </w:pict>
      </w:r>
      <w:r>
        <w:rPr>
          <w:noProof/>
        </w:rPr>
        <w:pict>
          <v:shape id="_x0000_s1458" type="#_x0000_t75" style="width:449.8pt;height:162.25pt;margin-top:147.6pt;margin-left:85.9pt;mso-position-horizontal-relative:page;mso-position-vertical-relative:page;position:absolute;z-index:-251240448">
            <v:imagedata r:id="rId369" o:title=""/>
          </v:shape>
        </w:pict>
      </w:r>
      <w:r>
        <w:rPr>
          <w:noProof/>
        </w:rPr>
        <w:pict>
          <v:shape id="_x0000_s1459" type="#_x0000_t75" style="width:266.8pt;height:46.05pt;margin-top:442.5pt;margin-left:177.35pt;mso-position-horizontal-relative:page;mso-position-vertical-relative:page;position:absolute;z-index:-251330560">
            <v:imagedata r:id="rId370" o:title=""/>
          </v:shape>
        </w:pict>
      </w:r>
      <w:r>
        <w:rPr>
          <w:noProof/>
        </w:rPr>
        <w:pict>
          <v:shape id="_x0000_s1460" type="#_x0000_t75" style="width:454.95pt;height:127.55pt;margin-top:574.25pt;margin-left:83.25pt;mso-position-horizontal-relative:page;mso-position-vertical-relative:page;position:absolute;z-index:-251467776">
            <v:imagedata r:id="rId371" o:title=""/>
          </v:shape>
        </w:pict>
      </w:r>
    </w:p>
    <w:p>
      <w:pPr>
        <w:spacing w:line="0" w:lineRule="atLeast"/>
        <w:rPr>
          <w:rFonts w:ascii="Arial" w:eastAsiaTheme="minorEastAsia" w:hAnsiTheme="minorHAnsi" w:cstheme="minorBidi"/>
          <w:color w:val="FF0000"/>
          <w:sz w:val="2"/>
          <w:szCs w:val="22"/>
          <w:lang w:val="en-US" w:eastAsia="en-US" w:bidi="ar-SA"/>
        </w:rPr>
      </w:pPr>
      <w:bookmarkStart w:id="187" w:name="br1_186"/>
      <w:bookmarkEnd w:id="18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194"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以现金结算的股份支付情况</w:t>
      </w:r>
    </w:p>
    <w:p>
      <w:pPr>
        <w:framePr w:w="3194"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4"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股份支付的修改、终止情况</w:t>
      </w:r>
    </w:p>
    <w:p>
      <w:pPr>
        <w:framePr w:w="3194"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8"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十四、</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承诺及或有事项</w:t>
      </w:r>
    </w:p>
    <w:p>
      <w:pPr>
        <w:framePr w:w="2558" w:x="1798" w:y="47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重要承诺事项</w:t>
      </w:r>
    </w:p>
    <w:p>
      <w:pPr>
        <w:framePr w:w="1817"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6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或有事项</w:t>
      </w:r>
    </w:p>
    <w:p>
      <w:pPr>
        <w:framePr w:w="3830" w:x="1798" w:y="6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资产负债表日存在的重要或有事项</w:t>
      </w:r>
    </w:p>
    <w:p>
      <w:pPr>
        <w:framePr w:w="3830" w:x="1798" w:y="68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520" w:x="1798" w:y="7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公司没有需要披露的重要或有事项，也应予以说明：</w:t>
      </w:r>
    </w:p>
    <w:p>
      <w:pPr>
        <w:framePr w:w="5520" w:x="1798" w:y="78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8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94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1" w:x="1798"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十五、</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资产负债表日后事项</w:t>
      </w:r>
    </w:p>
    <w:p>
      <w:pPr>
        <w:framePr w:w="2981" w:x="1798" w:y="9994"/>
        <w:widowControl w:val="0"/>
        <w:autoSpaceDE w:val="0"/>
        <w:autoSpaceDN w:val="0"/>
        <w:spacing w:before="297"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重要的非调整事项</w:t>
      </w:r>
    </w:p>
    <w:p>
      <w:pPr>
        <w:framePr w:w="2981" w:x="1798" w:y="9994"/>
        <w:widowControl w:val="0"/>
        <w:autoSpaceDE w:val="0"/>
        <w:autoSpaceDN w:val="0"/>
        <w:spacing w:before="29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11559"/>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利润分配情况</w:t>
      </w:r>
    </w:p>
    <w:p>
      <w:pPr>
        <w:framePr w:w="1817" w:x="1798" w:y="121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65" w:x="8109" w:y="12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单位：万元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765" w:x="8109" w:y="12637"/>
        <w:widowControl w:val="0"/>
        <w:autoSpaceDE w:val="0"/>
        <w:autoSpaceDN w:val="0"/>
        <w:spacing w:before="72" w:line="211" w:lineRule="exact"/>
        <w:ind w:left="168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5,547.15</w:t>
      </w:r>
    </w:p>
    <w:p>
      <w:pPr>
        <w:framePr w:w="2141" w:x="1798" w:y="129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拟分配的利润或股利</w:t>
      </w:r>
    </w:p>
    <w:p>
      <w:pPr>
        <w:framePr w:w="3408" w:x="1798" w:y="132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经审议批准宣告发放的利润或股利</w:t>
      </w:r>
    </w:p>
    <w:p>
      <w:pPr>
        <w:framePr w:w="1085" w:x="9792" w:y="132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5,547.15</w:t>
      </w:r>
    </w:p>
    <w:p>
      <w:pPr>
        <w:framePr w:w="1510" w:x="1798" w:y="1358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销售退回</w:t>
      </w:r>
    </w:p>
    <w:p>
      <w:pPr>
        <w:framePr w:w="1817" w:x="1798" w:y="141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61" type="#_x0000_t75" style="width:445.6pt;height:2.7pt;margin-top:53.65pt;margin-left:87.45pt;mso-position-horizontal-relative:page;mso-position-vertical-relative:page;position:absolute;z-index:-251329536">
            <v:imagedata r:id="rId372" o:title=""/>
          </v:shape>
        </w:pict>
      </w:r>
      <w:r>
        <w:rPr>
          <w:noProof/>
        </w:rPr>
        <w:pict>
          <v:shape id="_x0000_s1462" type="#_x0000_t75" style="width:454.95pt;height:30.8pt;margin-top:642.95pt;margin-left:83.25pt;mso-position-horizontal-relative:page;mso-position-vertical-relative:page;position:absolute;z-index:-251466752">
            <v:imagedata r:id="rId373" o:title=""/>
          </v:shape>
        </w:pict>
      </w:r>
    </w:p>
    <w:p>
      <w:pPr>
        <w:spacing w:line="0" w:lineRule="atLeast"/>
        <w:rPr>
          <w:rFonts w:ascii="Arial" w:eastAsiaTheme="minorEastAsia" w:hAnsiTheme="minorHAnsi" w:cstheme="minorBidi"/>
          <w:color w:val="FF0000"/>
          <w:sz w:val="2"/>
          <w:szCs w:val="22"/>
          <w:lang w:val="en-US" w:eastAsia="en-US" w:bidi="ar-SA"/>
        </w:rPr>
      </w:pPr>
      <w:bookmarkStart w:id="188" w:name="br1_187"/>
      <w:bookmarkEnd w:id="188"/>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3406" w:x="1798" w:y="151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其他资产负债表日后事项说明</w:t>
      </w:r>
    </w:p>
    <w:p>
      <w:pPr>
        <w:framePr w:w="3406" w:x="1798" w:y="1516"/>
        <w:widowControl w:val="0"/>
        <w:autoSpaceDE w:val="0"/>
        <w:autoSpaceDN w:val="0"/>
        <w:spacing w:before="29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6" w:x="1798" w:y="151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十六、</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其他重要事项</w:t>
      </w:r>
    </w:p>
    <w:p>
      <w:pPr>
        <w:framePr w:w="3406" w:x="1798" w:y="151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前期会计差错更正</w:t>
      </w:r>
    </w:p>
    <w:p>
      <w:pPr>
        <w:framePr w:w="3406" w:x="1798" w:y="151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追溯重述法</w:t>
      </w:r>
    </w:p>
    <w:p>
      <w:pPr>
        <w:framePr w:w="1817"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1"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未来适用法</w:t>
      </w:r>
    </w:p>
    <w:p>
      <w:pPr>
        <w:framePr w:w="1817" w:x="1798" w:y="5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债务重组</w:t>
      </w:r>
    </w:p>
    <w:p>
      <w:pPr>
        <w:framePr w:w="1817" w:x="1798" w:y="6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68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资产置换</w:t>
      </w:r>
    </w:p>
    <w:p>
      <w:pPr>
        <w:framePr w:w="2354" w:x="1798" w:y="7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非货币性资产交换</w:t>
      </w:r>
    </w:p>
    <w:p>
      <w:pPr>
        <w:framePr w:w="2354"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其他资产置换</w:t>
      </w:r>
    </w:p>
    <w:p>
      <w:pPr>
        <w:framePr w:w="2354" w:x="1798" w:y="735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7351"/>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年金计划</w:t>
      </w:r>
    </w:p>
    <w:p>
      <w:pPr>
        <w:framePr w:w="1817" w:x="1798"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105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终止经营</w:t>
      </w:r>
    </w:p>
    <w:p>
      <w:pPr>
        <w:framePr w:w="1817" w:x="1798" w:y="110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11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分部信息</w:t>
      </w:r>
    </w:p>
    <w:p>
      <w:pPr>
        <w:framePr w:w="3619" w:x="1798" w:y="121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报告分部的确定依据与会计政策</w:t>
      </w:r>
    </w:p>
    <w:p>
      <w:pPr>
        <w:framePr w:w="3619" w:x="1798" w:y="121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121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报告分部的财务信息</w:t>
      </w:r>
    </w:p>
    <w:p>
      <w:pPr>
        <w:framePr w:w="3619" w:x="1798" w:y="121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7" w:x="1798" w:y="142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公司无报告分部的，或者不能披露各报告分部的资产总额和负债总额的，应说明原因</w:t>
      </w:r>
    </w:p>
    <w:p>
      <w:pPr>
        <w:framePr w:w="1922" w:x="1798" w:y="1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189</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63" type="#_x0000_t75" style="width:445.6pt;height:2.7pt;margin-top:53.65pt;margin-left:87.45pt;mso-position-horizontal-relative:page;mso-position-vertical-relative:page;position:absolute;z-index:-25146572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89" w:name="br1_188"/>
      <w:bookmarkEnd w:id="189"/>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5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其他说明</w:t>
      </w:r>
    </w:p>
    <w:p>
      <w:pPr>
        <w:framePr w:w="1922"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73"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其他对投资者决策有影响的重要交易和事项</w:t>
      </w:r>
    </w:p>
    <w:p>
      <w:pPr>
        <w:framePr w:w="4673" w:x="1798" w:y="25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21" w:x="1798" w:y="4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十七、</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母公司财务报表主要项目注释</w:t>
      </w:r>
    </w:p>
    <w:p>
      <w:pPr>
        <w:framePr w:w="3821" w:x="1798" w:y="470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应收账款</w:t>
      </w:r>
    </w:p>
    <w:p>
      <w:pPr>
        <w:framePr w:w="1721"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按账龄披露</w:t>
      </w:r>
    </w:p>
    <w:p>
      <w:pPr>
        <w:framePr w:w="1817" w:x="1798" w:y="62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65" w:x="7809" w:y="6567"/>
        <w:widowControl w:val="0"/>
        <w:autoSpaceDE w:val="0"/>
        <w:autoSpaceDN w:val="0"/>
        <w:spacing w:line="211" w:lineRule="exact"/>
        <w:ind w:left="5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3065" w:x="7809" w:y="656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2563" w:x="1798" w:y="6848"/>
        <w:widowControl w:val="0"/>
        <w:autoSpaceDE w:val="0"/>
        <w:autoSpaceDN w:val="0"/>
        <w:spacing w:line="211" w:lineRule="exact"/>
        <w:ind w:left="190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2563" w:x="1798" w:y="68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081" w:x="1798" w:y="7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年以内分项</w:t>
      </w:r>
    </w:p>
    <w:p>
      <w:pPr>
        <w:framePr w:w="2081" w:x="1798" w:y="741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年以内小计</w:t>
      </w:r>
    </w:p>
    <w:p>
      <w:pPr>
        <w:framePr w:w="2081" w:x="1798" w:y="741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718" w:x="9160" w:y="76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171,309,922.80</w:t>
      </w:r>
    </w:p>
    <w:p>
      <w:pPr>
        <w:framePr w:w="1030" w:x="1798" w:y="82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030" w:x="1798" w:y="85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年以上</w:t>
      </w:r>
    </w:p>
    <w:p>
      <w:pPr>
        <w:framePr w:w="1030" w:x="1798" w:y="88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年</w:t>
      </w:r>
    </w:p>
    <w:p>
      <w:pPr>
        <w:framePr w:w="1030" w:x="1798" w:y="91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年</w:t>
      </w:r>
    </w:p>
    <w:p>
      <w:pPr>
        <w:framePr w:w="1030" w:x="1798" w:y="93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年以上</w:t>
      </w:r>
    </w:p>
    <w:p>
      <w:pPr>
        <w:framePr w:w="662" w:x="3699" w:y="96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160" w:y="96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171,309,922.80</w:t>
      </w:r>
    </w:p>
    <w:p>
      <w:pPr>
        <w:framePr w:w="2986" w:x="1798" w:y="100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按坏账计提方法分类披露</w:t>
      </w:r>
    </w:p>
    <w:p>
      <w:pPr>
        <w:framePr w:w="1817" w:x="1798" w:y="106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7" w:y="111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217" w:y="11132"/>
        <w:widowControl w:val="0"/>
        <w:autoSpaceDE w:val="0"/>
        <w:autoSpaceDN w:val="0"/>
        <w:spacing w:before="72" w:line="211" w:lineRule="exact"/>
        <w:ind w:left="3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3576" w:y="114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157" w:x="1942" w:y="11696"/>
        <w:widowControl w:val="0"/>
        <w:autoSpaceDE w:val="0"/>
        <w:autoSpaceDN w:val="0"/>
        <w:spacing w:line="211" w:lineRule="exact"/>
        <w:ind w:left="7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157" w:x="1942" w:y="11696"/>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438" w:x="3860" w:y="116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438" w:x="3860" w:y="11696"/>
        <w:widowControl w:val="0"/>
        <w:autoSpaceDE w:val="0"/>
        <w:autoSpaceDN w:val="0"/>
        <w:spacing w:before="72" w:line="211" w:lineRule="exact"/>
        <w:ind w:left="77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1174" w:x="6909" w:y="11696"/>
        <w:widowControl w:val="0"/>
        <w:autoSpaceDE w:val="0"/>
        <w:autoSpaceDN w:val="0"/>
        <w:spacing w:line="211" w:lineRule="exact"/>
        <w:ind w:left="9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174" w:x="6909" w:y="11696"/>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085" w:x="8860" w:y="116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662" w:x="667" w:y="119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451" w:x="2969" w:y="119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w:t>
      </w:r>
    </w:p>
    <w:p>
      <w:pPr>
        <w:framePr w:w="451" w:x="2969" w:y="1197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例</w:t>
      </w:r>
    </w:p>
    <w:p>
      <w:pPr>
        <w:framePr w:w="662" w:x="5629" w:y="119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账面</w:t>
      </w:r>
    </w:p>
    <w:p>
      <w:pPr>
        <w:framePr w:w="662" w:x="5629" w:y="1197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价值</w:t>
      </w:r>
    </w:p>
    <w:p>
      <w:pPr>
        <w:framePr w:w="451" w:x="7955" w:y="119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w:t>
      </w:r>
    </w:p>
    <w:p>
      <w:pPr>
        <w:framePr w:w="451" w:x="7955" w:y="1197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例</w:t>
      </w:r>
    </w:p>
    <w:p>
      <w:pPr>
        <w:framePr w:w="662" w:x="9636" w:y="119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662" w:x="9636" w:y="1197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9636" w:y="11979"/>
        <w:widowControl w:val="0"/>
        <w:autoSpaceDE w:val="0"/>
        <w:autoSpaceDN w:val="0"/>
        <w:spacing w:before="63"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662" w:x="10610" w:y="119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账面</w:t>
      </w:r>
    </w:p>
    <w:p>
      <w:pPr>
        <w:framePr w:w="662" w:x="10610" w:y="1197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价值</w:t>
      </w:r>
    </w:p>
    <w:p>
      <w:pPr>
        <w:framePr w:w="662" w:x="3713" w:y="12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4635" w:y="12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8716" w:y="12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557" w:x="2919" w:y="125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557" w:x="4688" w:y="125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557" w:x="7902" w:y="125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1296" w:x="346" w:y="128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按单项计提</w:t>
      </w:r>
    </w:p>
    <w:p>
      <w:pPr>
        <w:framePr w:w="1296" w:x="346" w:y="1280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296" w:x="346" w:y="1280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296" w:x="346" w:y="136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按组合计提</w:t>
      </w:r>
    </w:p>
    <w:p>
      <w:pPr>
        <w:framePr w:w="1296" w:x="346" w:y="1364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296" w:x="346" w:y="1364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085" w:x="346" w:y="144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账龄组合</w:t>
      </w:r>
    </w:p>
    <w:p>
      <w:pPr>
        <w:framePr w:w="2991" w:x="1632" w:y="144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123,966,20</w:t>
      </w:r>
      <w:r>
        <w:rPr>
          <w:rFonts w:ascii="SimSun" w:eastAsiaTheme="minorEastAsia" w:hAnsiTheme="minorHAnsi" w:cstheme="minorBidi"/>
          <w:color w:val="000000"/>
          <w:spacing w:val="147"/>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72.</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6,198,31</w:t>
      </w:r>
    </w:p>
    <w:p>
      <w:pPr>
        <w:framePr w:w="2991" w:x="1632" w:y="14480"/>
        <w:widowControl w:val="0"/>
        <w:autoSpaceDE w:val="0"/>
        <w:autoSpaceDN w:val="0"/>
        <w:spacing w:before="62"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3.91</w:t>
      </w:r>
      <w:r>
        <w:rPr>
          <w:rFonts w:ascii="SimSun" w:eastAsiaTheme="minorEastAsia" w:hAnsiTheme="minorHAnsi" w:cstheme="minorBidi"/>
          <w:color w:val="000000"/>
          <w:spacing w:val="25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36</w:t>
      </w:r>
      <w:r>
        <w:rPr>
          <w:rFonts w:ascii="SimSun" w:eastAsiaTheme="minorEastAsia" w:hAnsiTheme="minorHAnsi" w:cstheme="minorBidi"/>
          <w:color w:val="000000"/>
          <w:spacing w:val="60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0.20</w:t>
      </w:r>
    </w:p>
    <w:p>
      <w:pPr>
        <w:framePr w:w="6255" w:x="5319" w:y="144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117,767,89</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195,058,99</w:t>
      </w:r>
      <w:r>
        <w:rPr>
          <w:rFonts w:ascii="SimSun" w:eastAsiaTheme="minorEastAsia" w:hAnsiTheme="minorHAnsi" w:cstheme="minorBidi"/>
          <w:color w:val="000000"/>
          <w:spacing w:val="17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w:t>
      </w:r>
      <w:r>
        <w:rPr>
          <w:rFonts w:ascii="SimSun" w:eastAsiaTheme="minorEastAsia" w:hAnsiTheme="minorHAnsi" w:cstheme="minorBidi"/>
          <w:color w:val="000000"/>
          <w:spacing w:val="18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9,752,94</w:t>
      </w:r>
      <w:r>
        <w:rPr>
          <w:rFonts w:ascii="SimSun" w:eastAsiaTheme="minorEastAsia" w:hAnsiTheme="minorHAnsi" w:cstheme="minorBidi"/>
          <w:color w:val="000000"/>
          <w:spacing w:val="18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5.00</w:t>
      </w:r>
      <w:r>
        <w:rPr>
          <w:rFonts w:ascii="SimSun" w:eastAsiaTheme="minorEastAsia" w:hAnsiTheme="minorHAnsi" w:cstheme="minorBidi"/>
          <w:color w:val="000000"/>
          <w:spacing w:val="18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185,306,0</w:t>
      </w:r>
    </w:p>
    <w:p>
      <w:pPr>
        <w:framePr w:w="662" w:x="5951" w:y="147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3.71</w:t>
      </w:r>
    </w:p>
    <w:p>
      <w:pPr>
        <w:framePr w:w="662" w:x="7233" w:y="147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9.44</w:t>
      </w:r>
    </w:p>
    <w:p>
      <w:pPr>
        <w:framePr w:w="451" w:x="8041" w:y="147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36</w:t>
      </w:r>
    </w:p>
    <w:p>
      <w:pPr>
        <w:framePr w:w="662" w:x="8964" w:y="147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9.97</w:t>
      </w:r>
    </w:p>
    <w:p>
      <w:pPr>
        <w:framePr w:w="768" w:x="10807" w:y="147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49.47</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190</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64" type="#_x0000_t75" style="width:445.6pt;height:2.7pt;margin-top:53.65pt;margin-left:87.45pt;mso-position-horizontal-relative:page;mso-position-vertical-relative:page;position:absolute;z-index:-251239424">
            <v:imagedata r:id="rId374" o:title=""/>
          </v:shape>
        </w:pict>
      </w:r>
      <w:r>
        <w:rPr>
          <w:noProof/>
        </w:rPr>
        <w:pict>
          <v:shape id="_x0000_s1465" type="#_x0000_t75" style="width:455.55pt;height:157.9pt;margin-top:339.4pt;margin-left:83pt;mso-position-horizontal-relative:page;mso-position-vertical-relative:page;position:absolute;z-index:-251328512">
            <v:imagedata r:id="rId375" o:title=""/>
          </v:shape>
        </w:pict>
      </w:r>
      <w:r>
        <w:rPr>
          <w:noProof/>
        </w:rPr>
        <w:pict>
          <v:shape id="_x0000_s1466" type="#_x0000_t75" style="width:562.65pt;height:183.6pt;margin-top:567.65pt;margin-left:10.65pt;mso-position-horizontal-relative:page;mso-position-vertical-relative:page;position:absolute;z-index:-251464704">
            <v:imagedata r:id="rId376" o:title=""/>
          </v:shape>
        </w:pict>
      </w:r>
    </w:p>
    <w:p>
      <w:pPr>
        <w:spacing w:line="0" w:lineRule="atLeast"/>
        <w:rPr>
          <w:rFonts w:ascii="Arial" w:eastAsiaTheme="minorEastAsia" w:hAnsiTheme="minorHAnsi" w:cstheme="minorBidi"/>
          <w:color w:val="FF0000"/>
          <w:sz w:val="2"/>
          <w:szCs w:val="22"/>
          <w:lang w:val="en-US" w:eastAsia="en-US" w:bidi="ar-SA"/>
        </w:rPr>
      </w:pPr>
      <w:bookmarkStart w:id="190" w:name="br1_189"/>
      <w:bookmarkEnd w:id="190"/>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085" w:x="346"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性质组合</w:t>
      </w:r>
    </w:p>
    <w:p>
      <w:pPr>
        <w:framePr w:w="1085" w:x="346" w:y="1547"/>
        <w:widowControl w:val="0"/>
        <w:autoSpaceDE w:val="0"/>
        <w:autoSpaceDN w:val="0"/>
        <w:spacing w:before="478" w:line="211" w:lineRule="exact"/>
        <w:ind w:left="32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862" w:x="163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47,343,718</w:t>
      </w:r>
      <w:r>
        <w:rPr>
          <w:rFonts w:ascii="SimSun" w:eastAsiaTheme="minorEastAsia" w:hAnsiTheme="minorHAnsi" w:cstheme="minorBidi"/>
          <w:color w:val="000000"/>
          <w:spacing w:val="147"/>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27.</w:t>
      </w:r>
    </w:p>
    <w:p>
      <w:pPr>
        <w:framePr w:w="1862" w:x="1632" w:y="1547"/>
        <w:widowControl w:val="0"/>
        <w:autoSpaceDE w:val="0"/>
        <w:autoSpaceDN w:val="0"/>
        <w:spacing w:before="60" w:line="211" w:lineRule="exact"/>
        <w:ind w:left="73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w:t>
      </w:r>
      <w:r>
        <w:rPr>
          <w:rFonts w:ascii="SimSun" w:eastAsiaTheme="minorEastAsia" w:hAnsiTheme="minorHAnsi" w:cstheme="minorBidi"/>
          <w:color w:val="000000"/>
          <w:spacing w:val="25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64</w:t>
      </w:r>
    </w:p>
    <w:p>
      <w:pPr>
        <w:framePr w:w="3176" w:x="531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47,343,718</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1,256,640.</w:t>
      </w:r>
      <w:r>
        <w:rPr>
          <w:rFonts w:ascii="SimSun" w:eastAsiaTheme="minorEastAsia" w:hAnsiTheme="minorHAnsi" w:cstheme="minorBidi"/>
          <w:color w:val="000000"/>
          <w:spacing w:val="17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0.6</w:t>
      </w:r>
    </w:p>
    <w:p>
      <w:pPr>
        <w:framePr w:w="1190" w:x="10387"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1,256,640</w:t>
      </w:r>
    </w:p>
    <w:p>
      <w:pPr>
        <w:framePr w:w="1190" w:x="10387" w:y="1547"/>
        <w:widowControl w:val="0"/>
        <w:autoSpaceDE w:val="0"/>
        <w:autoSpaceDN w:val="0"/>
        <w:spacing w:before="60"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557" w:x="6056" w:y="18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w:t>
      </w:r>
    </w:p>
    <w:p>
      <w:pPr>
        <w:framePr w:w="451" w:x="7441" w:y="18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w:t>
      </w:r>
    </w:p>
    <w:p>
      <w:pPr>
        <w:framePr w:w="346" w:x="8147" w:y="18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p>
    <w:p>
      <w:pPr>
        <w:framePr w:w="1296" w:x="1632"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171,309,92</w:t>
      </w:r>
    </w:p>
    <w:p>
      <w:pPr>
        <w:framePr w:w="1296" w:x="1632" w:y="2102"/>
        <w:widowControl w:val="0"/>
        <w:autoSpaceDE w:val="0"/>
        <w:autoSpaceDN w:val="0"/>
        <w:spacing w:before="60"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2.80</w:t>
      </w:r>
    </w:p>
    <w:p>
      <w:pPr>
        <w:framePr w:w="1477" w:x="3147"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8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6,198,31</w:t>
      </w:r>
    </w:p>
    <w:p>
      <w:pPr>
        <w:framePr w:w="1477" w:x="3147" w:y="2102"/>
        <w:widowControl w:val="0"/>
        <w:autoSpaceDE w:val="0"/>
        <w:autoSpaceDN w:val="0"/>
        <w:spacing w:before="60" w:line="211" w:lineRule="exact"/>
        <w:ind w:left="8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0.20</w:t>
      </w:r>
    </w:p>
    <w:p>
      <w:pPr>
        <w:framePr w:w="2907" w:x="4988"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165,111,61</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196,315,63</w:t>
      </w:r>
    </w:p>
    <w:p>
      <w:pPr>
        <w:framePr w:w="1479" w:x="8147"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8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9,752,94</w:t>
      </w:r>
    </w:p>
    <w:p>
      <w:pPr>
        <w:framePr w:w="1479" w:x="8147" w:y="2102"/>
        <w:widowControl w:val="0"/>
        <w:autoSpaceDE w:val="0"/>
        <w:autoSpaceDN w:val="0"/>
        <w:spacing w:before="60" w:line="211" w:lineRule="exact"/>
        <w:ind w:left="81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9.97</w:t>
      </w:r>
    </w:p>
    <w:p>
      <w:pPr>
        <w:framePr w:w="1586" w:x="9988"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8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186,562,6</w:t>
      </w:r>
    </w:p>
    <w:p>
      <w:pPr>
        <w:framePr w:w="1586" w:x="9988" w:y="2102"/>
        <w:widowControl w:val="0"/>
        <w:autoSpaceDE w:val="0"/>
        <w:autoSpaceDN w:val="0"/>
        <w:spacing w:before="60" w:line="211" w:lineRule="exact"/>
        <w:ind w:left="81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89.47</w:t>
      </w:r>
    </w:p>
    <w:p>
      <w:pPr>
        <w:framePr w:w="662" w:x="5951" w:y="23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2.60</w:t>
      </w:r>
    </w:p>
    <w:p>
      <w:pPr>
        <w:framePr w:w="662" w:x="7233" w:y="23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9.44</w:t>
      </w:r>
    </w:p>
    <w:p>
      <w:pPr>
        <w:framePr w:w="2352" w:x="1798" w:y="2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按单项计提坏账准备：</w:t>
      </w:r>
    </w:p>
    <w:p>
      <w:pPr>
        <w:framePr w:w="1817" w:x="1798" w:y="3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2" w:x="1798" w:y="36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按组合计提坏账准备：</w:t>
      </w:r>
    </w:p>
    <w:p>
      <w:pPr>
        <w:framePr w:w="1817" w:x="1798" w:y="4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3" w:x="1798" w:y="46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组合计提项目：账龄组合</w:t>
      </w:r>
    </w:p>
    <w:p>
      <w:pPr>
        <w:framePr w:w="2554" w:x="8217" w:y="51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92" w:x="6841" w:y="54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92" w:x="6841" w:y="54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662" w:x="2528" w:y="55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085" w:x="4520" w:y="57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613" w:x="8911" w:y="57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030" w:x="1798" w:y="59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718" w:x="4515" w:y="59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123,966,203.91</w:t>
      </w:r>
    </w:p>
    <w:p>
      <w:pPr>
        <w:framePr w:w="1718" w:x="4515" w:y="59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123,966,203.91</w:t>
      </w:r>
    </w:p>
    <w:p>
      <w:pPr>
        <w:framePr w:w="1507" w:x="7079" w:y="59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6,198,310.20</w:t>
      </w:r>
    </w:p>
    <w:p>
      <w:pPr>
        <w:framePr w:w="1507" w:x="7079" w:y="59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6,198,310.20</w:t>
      </w:r>
    </w:p>
    <w:p>
      <w:pPr>
        <w:framePr w:w="662" w:x="10212" w:y="59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5.00</w:t>
      </w:r>
    </w:p>
    <w:p>
      <w:pPr>
        <w:framePr w:w="662" w:x="10212" w:y="599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5.00</w:t>
      </w:r>
    </w:p>
    <w:p>
      <w:pPr>
        <w:framePr w:w="662" w:x="2528" w:y="62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619" w:x="1798" w:y="66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按组合计提坏账的确认标准及说明：</w:t>
      </w:r>
    </w:p>
    <w:p>
      <w:pPr>
        <w:framePr w:w="3619" w:x="1798" w:y="667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576" w:x="1798" w:y="7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如按预期信用损失一般模型计提坏账准备，请参照其他应收款披露：</w:t>
      </w:r>
    </w:p>
    <w:p>
      <w:pPr>
        <w:framePr w:w="2143" w:x="1798" w:y="82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3" w:x="1798" w:y="826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坏账准备的情况</w:t>
      </w:r>
    </w:p>
    <w:p>
      <w:pPr>
        <w:framePr w:w="2143" w:x="1798" w:y="8263"/>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78" w:x="8320" w:y="98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78" w:x="8320" w:y="9850"/>
        <w:widowControl w:val="0"/>
        <w:autoSpaceDE w:val="0"/>
        <w:autoSpaceDN w:val="0"/>
        <w:spacing w:before="348" w:line="211" w:lineRule="exact"/>
        <w:ind w:left="149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507" w:x="6467" w:y="101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本期变动金额</w:t>
      </w:r>
    </w:p>
    <w:p>
      <w:pPr>
        <w:framePr w:w="662" w:x="2124" w:y="104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3540" w:y="104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874" w:x="7576" w:y="10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转销或</w:t>
      </w:r>
    </w:p>
    <w:p>
      <w:pPr>
        <w:framePr w:w="874" w:x="7576" w:y="10414"/>
        <w:widowControl w:val="0"/>
        <w:autoSpaceDE w:val="0"/>
        <w:autoSpaceDN w:val="0"/>
        <w:spacing w:before="6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核销</w:t>
      </w:r>
    </w:p>
    <w:p>
      <w:pPr>
        <w:framePr w:w="662" w:x="5079" w:y="10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1296" w:x="6090" w:y="10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收回或转回</w:t>
      </w:r>
    </w:p>
    <w:p>
      <w:pPr>
        <w:framePr w:w="1085" w:x="8538" w:y="10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其他变动</w:t>
      </w:r>
    </w:p>
    <w:p>
      <w:pPr>
        <w:framePr w:w="3271" w:x="1563"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应收账款坏账准</w:t>
      </w:r>
      <w:r>
        <w:rPr>
          <w:rFonts w:eastAsiaTheme="minorEastAsia" w:hAnsiTheme="minorHAnsi" w:cstheme="minorBidi"/>
          <w:color w:val="000000"/>
          <w:spacing w:val="24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9,752,949.97</w:t>
      </w:r>
    </w:p>
    <w:p>
      <w:pPr>
        <w:framePr w:w="1507" w:x="5987"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3,554,639.77</w:t>
      </w:r>
    </w:p>
    <w:p>
      <w:pPr>
        <w:framePr w:w="1507" w:x="9607" w:y="10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6,198,310.20</w:t>
      </w:r>
    </w:p>
    <w:p>
      <w:pPr>
        <w:framePr w:w="1507" w:x="9607" w:y="10969"/>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6,198,310.20</w:t>
      </w:r>
    </w:p>
    <w:p>
      <w:pPr>
        <w:framePr w:w="451" w:x="1563" w:y="112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w:t>
      </w:r>
    </w:p>
    <w:p>
      <w:pPr>
        <w:framePr w:w="662" w:x="2124" w:y="11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3332" w:y="11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9,752,949.97</w:t>
      </w:r>
    </w:p>
    <w:p>
      <w:pPr>
        <w:framePr w:w="1507" w:x="5987" w:y="11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3,554,639.77</w:t>
      </w:r>
    </w:p>
    <w:p>
      <w:pPr>
        <w:framePr w:w="4253" w:x="1798" w:y="119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其中本期坏账准备收回或转回金额重要的：</w:t>
      </w:r>
    </w:p>
    <w:p>
      <w:pPr>
        <w:framePr w:w="4253" w:x="1798" w:y="1192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8" w:x="1798" w:y="129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本期实际核销的应收账款情况</w:t>
      </w:r>
    </w:p>
    <w:p>
      <w:pPr>
        <w:framePr w:w="3408" w:x="1798" w:y="1298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6" w:x="1798" w:y="140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其中重要的应收账款核销情况</w:t>
      </w:r>
    </w:p>
    <w:p>
      <w:pPr>
        <w:framePr w:w="2986" w:x="1798" w:y="1404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191</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67" type="#_x0000_t75" style="width:445.6pt;height:2.7pt;margin-top:53.65pt;margin-left:87.45pt;mso-position-horizontal-relative:page;mso-position-vertical-relative:page;position:absolute;z-index:-251195392">
            <v:imagedata r:id="rId377" o:title=""/>
          </v:shape>
        </w:pict>
      </w:r>
      <w:r>
        <w:rPr>
          <w:noProof/>
        </w:rPr>
        <w:pict>
          <v:shape id="_x0000_s1468" type="#_x0000_t75" style="width:562.65pt;height:58.05pt;margin-top:74.3pt;margin-left:10.65pt;mso-position-horizontal-relative:page;mso-position-vertical-relative:page;position:absolute;z-index:-251238400">
            <v:imagedata r:id="rId378" o:title=""/>
          </v:shape>
        </w:pict>
      </w:r>
      <w:r>
        <w:rPr>
          <w:noProof/>
        </w:rPr>
        <w:pict>
          <v:shape id="_x0000_s1469" type="#_x0000_t75" style="width:454.95pt;height:59pt;margin-top:268.5pt;margin-left:83.25pt;mso-position-horizontal-relative:page;mso-position-vertical-relative:page;position:absolute;z-index:-251327488">
            <v:imagedata r:id="rId379" o:title=""/>
          </v:shape>
        </w:pict>
      </w:r>
      <w:r>
        <w:rPr>
          <w:noProof/>
        </w:rPr>
        <w:pict>
          <v:shape id="_x0000_s1470" type="#_x0000_t75" style="width:478.95pt;height:86.25pt;margin-top:503.6pt;margin-left:71.25pt;mso-position-horizontal-relative:page;mso-position-vertical-relative:page;position:absolute;z-index:-251463680">
            <v:imagedata r:id="rId380" o:title=""/>
          </v:shape>
        </w:pict>
      </w:r>
    </w:p>
    <w:p>
      <w:pPr>
        <w:spacing w:line="0" w:lineRule="atLeast"/>
        <w:rPr>
          <w:rFonts w:ascii="Arial" w:eastAsiaTheme="minorEastAsia" w:hAnsiTheme="minorHAnsi" w:cstheme="minorBidi"/>
          <w:color w:val="FF0000"/>
          <w:sz w:val="2"/>
          <w:szCs w:val="22"/>
          <w:lang w:val="en-US" w:eastAsia="en-US" w:bidi="ar-SA"/>
        </w:rPr>
      </w:pPr>
      <w:bookmarkStart w:id="191" w:name="br1_190"/>
      <w:bookmarkEnd w:id="191"/>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5098"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按欠款方归集的期末余额前五名的应收账款情况</w:t>
      </w:r>
    </w:p>
    <w:p>
      <w:pPr>
        <w:framePr w:w="1922"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9792"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p>
    <w:p>
      <w:pPr>
        <w:framePr w:w="2352" w:x="6666" w:y="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占应收账款期末余额的</w:t>
      </w:r>
    </w:p>
    <w:p>
      <w:pPr>
        <w:framePr w:w="1085" w:x="2458" w:y="30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085" w:x="4851" w:y="30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718" w:x="9247" w:y="30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已计提坏账准备</w:t>
      </w:r>
    </w:p>
    <w:p>
      <w:pPr>
        <w:framePr w:w="979" w:x="7348" w:y="31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874" w:x="2561" w:y="34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客户一</w:t>
      </w:r>
    </w:p>
    <w:p>
      <w:pPr>
        <w:framePr w:w="874" w:x="2561" w:y="3465"/>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客户二</w:t>
      </w:r>
    </w:p>
    <w:p>
      <w:pPr>
        <w:framePr w:w="874" w:x="2561" w:y="3465"/>
        <w:widowControl w:val="0"/>
        <w:autoSpaceDE w:val="0"/>
        <w:autoSpaceDN w:val="0"/>
        <w:spacing w:before="13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客户三</w:t>
      </w:r>
    </w:p>
    <w:p>
      <w:pPr>
        <w:framePr w:w="874" w:x="2561" w:y="3465"/>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客户四</w:t>
      </w:r>
    </w:p>
    <w:p>
      <w:pPr>
        <w:framePr w:w="874" w:x="2561" w:y="3465"/>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客户五</w:t>
      </w:r>
    </w:p>
    <w:p>
      <w:pPr>
        <w:framePr w:w="874" w:x="2561" w:y="3465"/>
        <w:widowControl w:val="0"/>
        <w:autoSpaceDE w:val="0"/>
        <w:autoSpaceDN w:val="0"/>
        <w:spacing w:before="14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4897" w:y="3465"/>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47,343,718.89</w:t>
      </w:r>
    </w:p>
    <w:p>
      <w:pPr>
        <w:framePr w:w="1718" w:x="4897" w:y="3465"/>
        <w:widowControl w:val="0"/>
        <w:autoSpaceDE w:val="0"/>
        <w:autoSpaceDN w:val="0"/>
        <w:spacing w:before="139"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20,725,853.13</w:t>
      </w:r>
    </w:p>
    <w:p>
      <w:pPr>
        <w:framePr w:w="1718" w:x="4897" w:y="3465"/>
        <w:widowControl w:val="0"/>
        <w:autoSpaceDE w:val="0"/>
        <w:autoSpaceDN w:val="0"/>
        <w:spacing w:before="13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14,586,126.85</w:t>
      </w:r>
    </w:p>
    <w:p>
      <w:pPr>
        <w:framePr w:w="1718" w:x="4897" w:y="3465"/>
        <w:widowControl w:val="0"/>
        <w:autoSpaceDE w:val="0"/>
        <w:autoSpaceDN w:val="0"/>
        <w:spacing w:before="139"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10,529,760.00</w:t>
      </w:r>
    </w:p>
    <w:p>
      <w:pPr>
        <w:framePr w:w="1718" w:x="4897" w:y="3465"/>
        <w:widowControl w:val="0"/>
        <w:autoSpaceDE w:val="0"/>
        <w:autoSpaceDN w:val="0"/>
        <w:spacing w:before="139"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10,190,327.82</w:t>
      </w:r>
    </w:p>
    <w:p>
      <w:pPr>
        <w:framePr w:w="1718" w:x="4897" w:y="3465"/>
        <w:widowControl w:val="0"/>
        <w:autoSpaceDE w:val="0"/>
        <w:autoSpaceDN w:val="0"/>
        <w:spacing w:before="14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103,375,786.69</w:t>
      </w:r>
    </w:p>
    <w:p>
      <w:pPr>
        <w:framePr w:w="768" w:x="8322" w:y="34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27.64</w:t>
      </w:r>
    </w:p>
    <w:p>
      <w:pPr>
        <w:framePr w:w="768" w:x="8322" w:y="3465"/>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12.10</w:t>
      </w:r>
    </w:p>
    <w:p>
      <w:pPr>
        <w:framePr w:w="768" w:x="8322" w:y="3465"/>
        <w:widowControl w:val="0"/>
        <w:autoSpaceDE w:val="0"/>
        <w:autoSpaceDN w:val="0"/>
        <w:spacing w:before="13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8.51</w:t>
      </w:r>
    </w:p>
    <w:p>
      <w:pPr>
        <w:framePr w:w="1507" w:x="9645" w:y="38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1,036,292.66</w:t>
      </w:r>
    </w:p>
    <w:p>
      <w:pPr>
        <w:framePr w:w="1507" w:x="9645" w:y="3816"/>
        <w:widowControl w:val="0"/>
        <w:autoSpaceDE w:val="0"/>
        <w:autoSpaceDN w:val="0"/>
        <w:spacing w:before="137"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729,306.34</w:t>
      </w:r>
    </w:p>
    <w:p>
      <w:pPr>
        <w:framePr w:w="1507" w:x="9645" w:y="3816"/>
        <w:widowControl w:val="0"/>
        <w:autoSpaceDE w:val="0"/>
        <w:autoSpaceDN w:val="0"/>
        <w:spacing w:before="139"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526,488.00</w:t>
      </w:r>
    </w:p>
    <w:p>
      <w:pPr>
        <w:framePr w:w="1507" w:x="9645" w:y="3816"/>
        <w:widowControl w:val="0"/>
        <w:autoSpaceDE w:val="0"/>
        <w:autoSpaceDN w:val="0"/>
        <w:spacing w:before="139"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509,516.39</w:t>
      </w:r>
    </w:p>
    <w:p>
      <w:pPr>
        <w:framePr w:w="1507" w:x="9645" w:y="3816"/>
        <w:widowControl w:val="0"/>
        <w:autoSpaceDE w:val="0"/>
        <w:autoSpaceDN w:val="0"/>
        <w:spacing w:before="14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2,801,603.39</w:t>
      </w:r>
    </w:p>
    <w:p>
      <w:pPr>
        <w:framePr w:w="662" w:x="8428" w:y="45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6.15</w:t>
      </w:r>
    </w:p>
    <w:p>
      <w:pPr>
        <w:framePr w:w="662" w:x="8428" w:y="48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5.95</w:t>
      </w:r>
    </w:p>
    <w:p>
      <w:pPr>
        <w:framePr w:w="768" w:x="8322" w:y="52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60.34</w:t>
      </w:r>
    </w:p>
    <w:p>
      <w:pPr>
        <w:framePr w:w="4253" w:x="1798" w:y="59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因金融资产转移而终止确认的应收账款</w:t>
      </w:r>
    </w:p>
    <w:p>
      <w:pPr>
        <w:framePr w:w="4253" w:x="1798" w:y="592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098" w:x="1798" w:y="69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1"/>
          <w:sz w:val="21"/>
          <w:szCs w:val="22"/>
          <w:lang w:val="en-US" w:eastAsia="en-US" w:bidi="ar-SA"/>
        </w:rPr>
        <w:t>转移应收账款且继续涉入形成的资产、负债金额</w:t>
      </w:r>
    </w:p>
    <w:p>
      <w:pPr>
        <w:framePr w:w="5098" w:x="1798" w:y="698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80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8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1" w:x="1798" w:y="90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其他应收款</w:t>
      </w:r>
    </w:p>
    <w:p>
      <w:pPr>
        <w:framePr w:w="1085" w:x="1798" w:y="96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101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06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0681"/>
        <w:widowControl w:val="0"/>
        <w:autoSpaceDE w:val="0"/>
        <w:autoSpaceDN w:val="0"/>
        <w:spacing w:before="72" w:line="211" w:lineRule="exact"/>
        <w:ind w:left="53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075" w:y="10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3075" w:y="10964"/>
        <w:widowControl w:val="0"/>
        <w:autoSpaceDE w:val="0"/>
        <w:autoSpaceDN w:val="0"/>
        <w:spacing w:before="9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929" w:y="10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96" w:x="1798" w:y="11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应收利息</w:t>
      </w:r>
    </w:p>
    <w:p>
      <w:pPr>
        <w:framePr w:w="1296" w:x="1798" w:y="1124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1296" w:x="1798" w:y="1124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719" w:x="6234" w:y="118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391,135,215.83</w:t>
      </w:r>
    </w:p>
    <w:p>
      <w:pPr>
        <w:framePr w:w="1719" w:x="6234" w:y="1181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391,135,215.83</w:t>
      </w:r>
    </w:p>
    <w:p>
      <w:pPr>
        <w:framePr w:w="1719" w:x="9156" w:y="118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1719" w:x="9156" w:y="1181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1296" w:x="1798" w:y="124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30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302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应收利息</w:t>
      </w:r>
    </w:p>
    <w:p>
      <w:pPr>
        <w:framePr w:w="1934" w:x="1798" w:y="140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应收利息分类</w:t>
      </w:r>
    </w:p>
    <w:p>
      <w:pPr>
        <w:framePr w:w="1934" w:x="1798" w:y="14082"/>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192</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71" type="#_x0000_t75" style="width:445.6pt;height:2.7pt;margin-top:53.65pt;margin-left:87.45pt;mso-position-horizontal-relative:page;mso-position-vertical-relative:page;position:absolute;z-index:-251237376">
            <v:imagedata r:id="rId381" o:title=""/>
          </v:shape>
        </w:pict>
      </w:r>
      <w:r>
        <w:rPr>
          <w:noProof/>
        </w:rPr>
        <w:pict>
          <v:shape id="_x0000_s1472" type="#_x0000_t75" style="width:468.65pt;height:135.35pt;margin-top:140.8pt;margin-left:83.25pt;mso-position-horizontal-relative:page;mso-position-vertical-relative:page;position:absolute;z-index:-251326464">
            <v:imagedata r:id="rId382" o:title=""/>
          </v:shape>
        </w:pict>
      </w:r>
      <w:r>
        <w:rPr>
          <w:noProof/>
        </w:rPr>
        <w:pict>
          <v:shape id="_x0000_s1473" type="#_x0000_t75" style="width:454.95pt;height:73.15pt;margin-top:545.1pt;margin-left:83.25pt;mso-position-horizontal-relative:page;mso-position-vertical-relative:page;position:absolute;z-index:-251462656">
            <v:imagedata r:id="rId383" o:title=""/>
          </v:shape>
        </w:pict>
      </w:r>
    </w:p>
    <w:p>
      <w:pPr>
        <w:spacing w:line="0" w:lineRule="atLeast"/>
        <w:rPr>
          <w:rFonts w:ascii="Arial" w:eastAsiaTheme="minorEastAsia" w:hAnsiTheme="minorHAnsi" w:cstheme="minorBidi"/>
          <w:color w:val="FF0000"/>
          <w:sz w:val="2"/>
          <w:szCs w:val="22"/>
          <w:lang w:val="en-US" w:eastAsia="en-US" w:bidi="ar-SA"/>
        </w:rPr>
      </w:pPr>
      <w:bookmarkStart w:id="192" w:name="br1_191"/>
      <w:bookmarkEnd w:id="192"/>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35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重要逾期利息</w:t>
      </w:r>
    </w:p>
    <w:p>
      <w:pPr>
        <w:framePr w:w="2357" w:x="1798" w:y="1535"/>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坏账准备计提情况</w:t>
      </w:r>
    </w:p>
    <w:p>
      <w:pPr>
        <w:framePr w:w="2357"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153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417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应收股利</w:t>
      </w:r>
    </w:p>
    <w:p>
      <w:pPr>
        <w:framePr w:w="1512" w:x="1798" w:y="5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应收股利</w:t>
      </w:r>
    </w:p>
    <w:p>
      <w:pPr>
        <w:framePr w:w="3622" w:x="1798" w:y="57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22"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重要的账龄超过</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pacing w:val="1"/>
          <w:sz w:val="21"/>
          <w:szCs w:val="22"/>
          <w:lang w:val="en-US" w:eastAsia="en-US" w:bidi="ar-SA"/>
        </w:rPr>
        <w:t>年的应收股利</w:t>
      </w:r>
    </w:p>
    <w:p>
      <w:pPr>
        <w:framePr w:w="3622" w:x="1798" w:y="5765"/>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22"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坏账准备计提情况</w:t>
      </w:r>
    </w:p>
    <w:p>
      <w:pPr>
        <w:framePr w:w="3622"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22" w:x="1798" w:y="5765"/>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8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8936"/>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824" w:x="1798" w:y="99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按账龄披露</w:t>
      </w:r>
    </w:p>
    <w:p>
      <w:pPr>
        <w:framePr w:w="1824" w:x="1798" w:y="999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05" w:x="7869" w:y="10796"/>
        <w:widowControl w:val="0"/>
        <w:autoSpaceDE w:val="0"/>
        <w:autoSpaceDN w:val="0"/>
        <w:spacing w:line="211" w:lineRule="exact"/>
        <w:ind w:left="45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3005" w:x="7869" w:y="1079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2628" w:x="1798" w:y="11077"/>
        <w:widowControl w:val="0"/>
        <w:autoSpaceDE w:val="0"/>
        <w:autoSpaceDN w:val="0"/>
        <w:spacing w:line="211" w:lineRule="exact"/>
        <w:ind w:left="196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2628" w:x="1798" w:y="110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081" w:x="1798" w:y="11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年以内分项</w:t>
      </w:r>
    </w:p>
    <w:p>
      <w:pPr>
        <w:framePr w:w="2081" w:x="1798" w:y="1164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年以内小计</w:t>
      </w:r>
    </w:p>
    <w:p>
      <w:pPr>
        <w:framePr w:w="2081" w:x="1798" w:y="1164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718" w:x="9160" w:y="119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391,138,313.33</w:t>
      </w:r>
    </w:p>
    <w:p>
      <w:pPr>
        <w:framePr w:w="1718" w:x="9160" w:y="11924"/>
        <w:widowControl w:val="0"/>
        <w:autoSpaceDE w:val="0"/>
        <w:autoSpaceDN w:val="0"/>
        <w:spacing w:before="7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10,214.50</w:t>
      </w:r>
    </w:p>
    <w:p>
      <w:pPr>
        <w:framePr w:w="1718" w:x="9160" w:y="11924"/>
        <w:widowControl w:val="0"/>
        <w:autoSpaceDE w:val="0"/>
        <w:autoSpaceDN w:val="0"/>
        <w:spacing w:before="70" w:line="211" w:lineRule="exact"/>
        <w:ind w:left="84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356.00</w:t>
      </w:r>
    </w:p>
    <w:p>
      <w:pPr>
        <w:framePr w:w="1030" w:x="1798" w:y="124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030" w:x="1798" w:y="127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年</w:t>
      </w:r>
    </w:p>
    <w:p>
      <w:pPr>
        <w:framePr w:w="1030" w:x="1798" w:y="130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年</w:t>
      </w:r>
    </w:p>
    <w:p>
      <w:pPr>
        <w:framePr w:w="1190" w:x="9686" w:y="130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w:t>
      </w:r>
    </w:p>
    <w:p>
      <w:pPr>
        <w:framePr w:w="1190" w:x="9686" w:y="13055"/>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3,500.00</w:t>
      </w:r>
    </w:p>
    <w:p>
      <w:pPr>
        <w:framePr w:w="1030" w:x="1798" w:y="133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年以上</w:t>
      </w:r>
    </w:p>
    <w:p>
      <w:pPr>
        <w:framePr w:w="662" w:x="3764" w:y="136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160" w:y="136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391,162,383.83</w:t>
      </w:r>
    </w:p>
    <w:p>
      <w:pPr>
        <w:framePr w:w="2669" w:x="1798" w:y="140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按款项性质分类情况</w:t>
      </w:r>
    </w:p>
    <w:p>
      <w:pPr>
        <w:framePr w:w="1817" w:x="1798" w:y="145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50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193</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74" type="#_x0000_t75" style="width:445.6pt;height:2.7pt;margin-top:53.65pt;margin-left:87.45pt;mso-position-horizontal-relative:page;mso-position-vertical-relative:page;position:absolute;z-index:-251325440">
            <v:imagedata r:id="rId384" o:title=""/>
          </v:shape>
        </w:pict>
      </w:r>
      <w:r>
        <w:rPr>
          <w:noProof/>
        </w:rPr>
        <w:pict>
          <v:shape id="_x0000_s1475" type="#_x0000_t75" style="width:454.95pt;height:143.75pt;margin-top:550.85pt;margin-left:83.25pt;mso-position-horizontal-relative:page;mso-position-vertical-relative:page;position:absolute;z-index:-251461632">
            <v:imagedata r:id="rId385" o:title=""/>
          </v:shape>
        </w:pict>
      </w:r>
    </w:p>
    <w:p>
      <w:pPr>
        <w:spacing w:line="0" w:lineRule="atLeast"/>
        <w:rPr>
          <w:rFonts w:ascii="Arial" w:eastAsiaTheme="minorEastAsia" w:hAnsiTheme="minorHAnsi" w:cstheme="minorBidi"/>
          <w:color w:val="FF0000"/>
          <w:sz w:val="2"/>
          <w:szCs w:val="22"/>
          <w:lang w:val="en-US" w:eastAsia="en-US" w:bidi="ar-SA"/>
        </w:rPr>
      </w:pPr>
      <w:bookmarkStart w:id="193" w:name="br1_192"/>
      <w:bookmarkEnd w:id="193"/>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352" w:x="1798" w:y="1547"/>
        <w:widowControl w:val="0"/>
        <w:autoSpaceDE w:val="0"/>
        <w:autoSpaceDN w:val="0"/>
        <w:spacing w:line="211" w:lineRule="exact"/>
        <w:ind w:left="101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款项性质</w:t>
      </w:r>
    </w:p>
    <w:p>
      <w:pPr>
        <w:framePr w:w="2352"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合并范围内关联方往来</w:t>
      </w:r>
    </w:p>
    <w:p>
      <w:pPr>
        <w:framePr w:w="2352" w:x="179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保证金、押金</w:t>
      </w:r>
    </w:p>
    <w:p>
      <w:pPr>
        <w:framePr w:w="2352" w:x="179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备用金</w:t>
      </w:r>
    </w:p>
    <w:p>
      <w:pPr>
        <w:framePr w:w="1507" w:x="5624"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2262" w:x="8613"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期初账面余额</w:t>
      </w:r>
    </w:p>
    <w:p>
      <w:pPr>
        <w:framePr w:w="2262" w:x="8613" w:y="1547"/>
        <w:widowControl w:val="0"/>
        <w:autoSpaceDE w:val="0"/>
        <w:autoSpaceDN w:val="0"/>
        <w:spacing w:before="70" w:line="211" w:lineRule="exact"/>
        <w:ind w:left="54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181,450,000.00</w:t>
      </w:r>
    </w:p>
    <w:p>
      <w:pPr>
        <w:framePr w:w="1718" w:x="6167"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390,908,659.34</w:t>
      </w:r>
    </w:p>
    <w:p>
      <w:pPr>
        <w:framePr w:w="1190" w:x="6693"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18,900.00</w:t>
      </w:r>
    </w:p>
    <w:p>
      <w:pPr>
        <w:framePr w:w="1190" w:x="6693" w:y="211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3,000.00</w:t>
      </w:r>
    </w:p>
    <w:p>
      <w:pPr>
        <w:framePr w:w="1190" w:x="9686"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10,500.00</w:t>
      </w:r>
    </w:p>
    <w:p>
      <w:pPr>
        <w:framePr w:w="1190" w:x="9686"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16,428.85</w:t>
      </w:r>
    </w:p>
    <w:p>
      <w:pPr>
        <w:framePr w:w="874" w:x="1798"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暂借款</w:t>
      </w:r>
    </w:p>
    <w:p>
      <w:pPr>
        <w:framePr w:w="1085" w:x="6798"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2,656.00</w:t>
      </w:r>
    </w:p>
    <w:p>
      <w:pPr>
        <w:framePr w:w="1190" w:x="9686"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35,534.60</w:t>
      </w:r>
    </w:p>
    <w:p>
      <w:pPr>
        <w:framePr w:w="874" w:x="1798"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718" w:x="6167" w:y="2959"/>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229,168.49</w:t>
      </w:r>
    </w:p>
    <w:p>
      <w:pPr>
        <w:framePr w:w="1718" w:x="6167" w:y="295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391,162,383.83</w:t>
      </w:r>
    </w:p>
    <w:p>
      <w:pPr>
        <w:framePr w:w="1296" w:x="9580"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209,066.65</w:t>
      </w:r>
    </w:p>
    <w:p>
      <w:pPr>
        <w:framePr w:w="662" w:x="3017"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160"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181,721,530.10</w:t>
      </w:r>
    </w:p>
    <w:p>
      <w:pPr>
        <w:framePr w:w="2458" w:x="1798" w:y="36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坏账准备计提情况</w:t>
      </w:r>
    </w:p>
    <w:p>
      <w:pPr>
        <w:framePr w:w="1817" w:x="1798" w:y="41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7" w:y="47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85" w:x="3863" w:y="49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第一阶段</w:t>
      </w:r>
    </w:p>
    <w:p>
      <w:pPr>
        <w:framePr w:w="1085" w:x="5636" w:y="49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第二阶段</w:t>
      </w:r>
    </w:p>
    <w:p>
      <w:pPr>
        <w:framePr w:w="1085" w:x="7624" w:y="49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第三阶段</w:t>
      </w:r>
    </w:p>
    <w:p>
      <w:pPr>
        <w:framePr w:w="3910" w:x="5216" w:y="54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整个存续期预期信</w:t>
      </w:r>
      <w:r>
        <w:rPr>
          <w:rFonts w:eastAsiaTheme="minorEastAsia" w:hAnsiTheme="minorHAnsi" w:cstheme="minorBidi"/>
          <w:color w:val="000000"/>
          <w:spacing w:val="253"/>
          <w:sz w:val="21"/>
          <w:szCs w:val="22"/>
          <w:lang w:val="en-US" w:eastAsia="en-US" w:bidi="ar-SA"/>
        </w:rPr>
        <w:t xml:space="preserve"> </w:t>
      </w:r>
      <w:r>
        <w:rPr>
          <w:rFonts w:ascii="SimSun" w:hAnsi="SimSun" w:eastAsiaTheme="minorEastAsia" w:cs="SimSun"/>
          <w:color w:val="000000"/>
          <w:sz w:val="21"/>
          <w:szCs w:val="22"/>
          <w:lang w:val="en-US" w:eastAsia="en-US" w:bidi="ar-SA"/>
        </w:rPr>
        <w:t>整个存续期预期信</w:t>
      </w:r>
    </w:p>
    <w:p>
      <w:pPr>
        <w:framePr w:w="662" w:x="9676" w:y="54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2014" w:y="5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507" w:x="3651" w:y="55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未来</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个月预</w:t>
      </w:r>
    </w:p>
    <w:p>
      <w:pPr>
        <w:framePr w:w="1824" w:x="5269" w:y="56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用损失</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未发生信</w:t>
      </w:r>
    </w:p>
    <w:p>
      <w:pPr>
        <w:framePr w:w="1824" w:x="5269" w:y="5698"/>
        <w:widowControl w:val="0"/>
        <w:autoSpaceDE w:val="0"/>
        <w:autoSpaceDN w:val="0"/>
        <w:spacing w:before="60"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用减值</w:t>
      </w:r>
      <w:r>
        <w:rPr>
          <w:rFonts w:ascii="SimSun" w:eastAsiaTheme="minorEastAsia" w:hAnsiTheme="minorHAnsi" w:cstheme="minorBidi"/>
          <w:color w:val="000000"/>
          <w:sz w:val="21"/>
          <w:szCs w:val="22"/>
          <w:lang w:val="en-US" w:eastAsia="en-US" w:bidi="ar-SA"/>
        </w:rPr>
        <w:t>)</w:t>
      </w:r>
    </w:p>
    <w:p>
      <w:pPr>
        <w:framePr w:w="1824" w:x="7257" w:y="56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用损失</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已发生信</w:t>
      </w:r>
    </w:p>
    <w:p>
      <w:pPr>
        <w:framePr w:w="1824" w:x="7257" w:y="5698"/>
        <w:widowControl w:val="0"/>
        <w:autoSpaceDE w:val="0"/>
        <w:autoSpaceDN w:val="0"/>
        <w:spacing w:before="60"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用减值</w:t>
      </w:r>
      <w:r>
        <w:rPr>
          <w:rFonts w:ascii="SimSun" w:eastAsiaTheme="minorEastAsia" w:hAnsiTheme="minorHAnsi" w:cstheme="minorBidi"/>
          <w:color w:val="000000"/>
          <w:sz w:val="21"/>
          <w:szCs w:val="22"/>
          <w:lang w:val="en-US" w:eastAsia="en-US" w:bidi="ar-SA"/>
        </w:rPr>
        <w:t>)</w:t>
      </w:r>
    </w:p>
    <w:p>
      <w:pPr>
        <w:framePr w:w="1296" w:x="3756" w:y="58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期信用损失</w:t>
      </w:r>
    </w:p>
    <w:p>
      <w:pPr>
        <w:framePr w:w="2157" w:x="1479" w:y="64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月</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z w:val="21"/>
          <w:szCs w:val="22"/>
          <w:lang w:val="en-US" w:eastAsia="en-US" w:bidi="ar-SA"/>
        </w:rPr>
        <w:t>日余额</w:t>
      </w:r>
    </w:p>
    <w:p>
      <w:pPr>
        <w:framePr w:w="2157" w:x="1479" w:y="641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4"/>
          <w:sz w:val="21"/>
          <w:szCs w:val="22"/>
          <w:lang w:val="en-US" w:eastAsia="en-US" w:bidi="ar-SA"/>
        </w:rPr>
        <w:t>年</w:t>
      </w:r>
      <w:r>
        <w:rPr>
          <w:rFonts w:ascii="SimSun" w:eastAsiaTheme="minorEastAsia" w:hAnsiTheme="minorHAnsi" w:cstheme="minorBidi"/>
          <w:color w:val="000000"/>
          <w:spacing w:val="3"/>
          <w:sz w:val="21"/>
          <w:szCs w:val="22"/>
          <w:lang w:val="en-US" w:eastAsia="en-US" w:bidi="ar-SA"/>
        </w:rPr>
        <w:t>1</w:t>
      </w:r>
      <w:r>
        <w:rPr>
          <w:rFonts w:ascii="SimSun" w:hAnsi="SimSun" w:eastAsiaTheme="minorEastAsia" w:cs="SimSun"/>
          <w:color w:val="000000"/>
          <w:spacing w:val="4"/>
          <w:sz w:val="21"/>
          <w:szCs w:val="22"/>
          <w:lang w:val="en-US" w:eastAsia="en-US" w:bidi="ar-SA"/>
        </w:rPr>
        <w:t>月</w:t>
      </w:r>
      <w:r>
        <w:rPr>
          <w:rFonts w:ascii="SimSun" w:eastAsiaTheme="minorEastAsia" w:hAnsiTheme="minorHAnsi" w:cstheme="minorBidi"/>
          <w:color w:val="000000"/>
          <w:spacing w:val="3"/>
          <w:sz w:val="21"/>
          <w:szCs w:val="22"/>
          <w:lang w:val="en-US" w:eastAsia="en-US" w:bidi="ar-SA"/>
        </w:rPr>
        <w:t>1</w:t>
      </w:r>
      <w:r>
        <w:rPr>
          <w:rFonts w:ascii="SimSun" w:hAnsi="SimSun" w:eastAsiaTheme="minorEastAsia" w:cs="SimSun"/>
          <w:color w:val="000000"/>
          <w:spacing w:val="3"/>
          <w:sz w:val="21"/>
          <w:szCs w:val="22"/>
          <w:lang w:val="en-US" w:eastAsia="en-US" w:bidi="ar-SA"/>
        </w:rPr>
        <w:t>日余额在</w:t>
      </w:r>
    </w:p>
    <w:p>
      <w:pPr>
        <w:framePr w:w="2157" w:x="1479" w:y="641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w:t>
      </w:r>
    </w:p>
    <w:p>
      <w:pPr>
        <w:framePr w:w="1190" w:x="4009" w:y="64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22,454.90</w:t>
      </w:r>
    </w:p>
    <w:p>
      <w:pPr>
        <w:framePr w:w="1190" w:x="9686" w:y="64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22,454.90</w:t>
      </w:r>
    </w:p>
    <w:p>
      <w:pPr>
        <w:framePr w:w="1718" w:x="1479" w:y="72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转入第二阶段</w:t>
      </w:r>
    </w:p>
    <w:p>
      <w:pPr>
        <w:framePr w:w="1718" w:x="1479" w:y="72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转入第三阶段</w:t>
      </w:r>
    </w:p>
    <w:p>
      <w:pPr>
        <w:framePr w:w="1718" w:x="1479" w:y="72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转回第二阶段</w:t>
      </w:r>
    </w:p>
    <w:p>
      <w:pPr>
        <w:framePr w:w="1718" w:x="1479" w:y="72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转回第一阶段</w:t>
      </w:r>
    </w:p>
    <w:p>
      <w:pPr>
        <w:framePr w:w="1718" w:x="1479" w:y="72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本期计提</w:t>
      </w:r>
    </w:p>
    <w:p>
      <w:pPr>
        <w:framePr w:w="1085" w:x="4115" w:y="83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4,713.10</w:t>
      </w:r>
    </w:p>
    <w:p>
      <w:pPr>
        <w:framePr w:w="1085" w:x="9792" w:y="83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4,713.10</w:t>
      </w:r>
    </w:p>
    <w:p>
      <w:pPr>
        <w:framePr w:w="1085" w:x="1479" w:y="86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本期转回</w:t>
      </w:r>
    </w:p>
    <w:p>
      <w:pPr>
        <w:framePr w:w="1085" w:x="1479" w:y="89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本期转销</w:t>
      </w:r>
    </w:p>
    <w:p>
      <w:pPr>
        <w:framePr w:w="1085" w:x="1479" w:y="9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本期核销</w:t>
      </w:r>
    </w:p>
    <w:p>
      <w:pPr>
        <w:framePr w:w="1085" w:x="1479" w:y="95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其他变动</w:t>
      </w:r>
    </w:p>
    <w:p>
      <w:pPr>
        <w:framePr w:w="2141" w:x="1479" w:y="97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pacing w:val="-1"/>
          <w:sz w:val="21"/>
          <w:szCs w:val="22"/>
          <w:lang w:val="en-US" w:eastAsia="en-US" w:bidi="ar-SA"/>
        </w:rPr>
        <w:t>月</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日余额</w:t>
      </w:r>
    </w:p>
    <w:p>
      <w:pPr>
        <w:framePr w:w="1190" w:x="4009" w:y="97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27,168.00</w:t>
      </w:r>
    </w:p>
    <w:p>
      <w:pPr>
        <w:framePr w:w="1190" w:x="9686" w:y="97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27,168.00</w:t>
      </w:r>
    </w:p>
    <w:p>
      <w:pPr>
        <w:framePr w:w="6787" w:x="1798" w:y="10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对本期发生损失准备变动的其他应收款账面余额显著变动的情况说明：</w:t>
      </w:r>
    </w:p>
    <w:p>
      <w:pPr>
        <w:framePr w:w="6787" w:x="1798" w:y="1019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632" w:x="1798" w:y="112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本期坏账准备计提金额以及评估金融工具的信用风险是否显著增加的采用依据：</w:t>
      </w:r>
    </w:p>
    <w:p>
      <w:pPr>
        <w:framePr w:w="7632" w:x="1798" w:y="11249"/>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46" w:x="1798" w:y="12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坏账准备的情况</w:t>
      </w:r>
    </w:p>
    <w:p>
      <w:pPr>
        <w:framePr w:w="1817" w:x="1798" w:y="126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29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2913"/>
        <w:widowControl w:val="0"/>
        <w:autoSpaceDE w:val="0"/>
        <w:autoSpaceDN w:val="0"/>
        <w:spacing w:before="348" w:line="211" w:lineRule="exact"/>
        <w:ind w:left="136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925" w:x="5847" w:y="13194"/>
        <w:widowControl w:val="0"/>
        <w:autoSpaceDE w:val="0"/>
        <w:autoSpaceDN w:val="0"/>
        <w:spacing w:line="211" w:lineRule="exact"/>
        <w:ind w:left="4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本期变动金额</w:t>
      </w:r>
    </w:p>
    <w:p>
      <w:pPr>
        <w:framePr w:w="1925" w:x="5847" w:y="1319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收回或转</w:t>
      </w:r>
    </w:p>
    <w:p>
      <w:pPr>
        <w:framePr w:w="662" w:x="1824" w:y="134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3312" w:y="134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4791" w:y="136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1296" w:x="6997" w:y="136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转销或核销</w:t>
      </w:r>
    </w:p>
    <w:p>
      <w:pPr>
        <w:framePr w:w="1085" w:x="8505" w:y="136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其他变动</w:t>
      </w:r>
    </w:p>
    <w:p>
      <w:pPr>
        <w:framePr w:w="451" w:x="6162" w:y="13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回</w:t>
      </w:r>
    </w:p>
    <w:p>
      <w:pPr>
        <w:framePr w:w="3413" w:x="1058" w:y="140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其他应收款坏账准备</w:t>
      </w:r>
      <w:r>
        <w:rPr>
          <w:rFonts w:eastAsiaTheme="minorEastAsia" w:hAnsiTheme="minorHAnsi" w:cstheme="minorBidi"/>
          <w:color w:val="000000"/>
          <w:spacing w:val="28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22,454.90</w:t>
      </w:r>
    </w:p>
    <w:p>
      <w:pPr>
        <w:framePr w:w="3413" w:x="1058" w:y="14032"/>
        <w:widowControl w:val="0"/>
        <w:autoSpaceDE w:val="0"/>
        <w:autoSpaceDN w:val="0"/>
        <w:spacing w:before="72" w:line="211" w:lineRule="exact"/>
        <w:ind w:left="766"/>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r>
        <w:rPr>
          <w:rFonts w:eastAsiaTheme="minorEastAsia" w:hAnsiTheme="minorHAnsi" w:cstheme="minorBidi"/>
          <w:color w:val="000000"/>
          <w:spacing w:val="98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22,454.90</w:t>
      </w:r>
    </w:p>
    <w:p>
      <w:pPr>
        <w:framePr w:w="1085" w:x="4707" w:y="140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4,713.10</w:t>
      </w:r>
    </w:p>
    <w:p>
      <w:pPr>
        <w:framePr w:w="1085" w:x="4707" w:y="1403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4,713.10</w:t>
      </w:r>
    </w:p>
    <w:p>
      <w:pPr>
        <w:framePr w:w="1190" w:x="9686" w:y="140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27,168.00</w:t>
      </w:r>
    </w:p>
    <w:p>
      <w:pPr>
        <w:framePr w:w="1190" w:x="9686" w:y="1403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27,168.00</w:t>
      </w:r>
    </w:p>
    <w:p>
      <w:pPr>
        <w:framePr w:w="4253" w:x="1798" w:y="147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其中本期坏账准备转回或收回金额重要的：</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194</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76" type="#_x0000_t75" style="width:445.6pt;height:2.7pt;margin-top:53.65pt;margin-left:87.45pt;mso-position-horizontal-relative:page;mso-position-vertical-relative:page;position:absolute;z-index:-251194368">
            <v:imagedata r:id="rId386" o:title=""/>
          </v:shape>
        </w:pict>
      </w:r>
      <w:r>
        <w:rPr>
          <w:noProof/>
        </w:rPr>
        <w:pict>
          <v:shape id="_x0000_s1477" type="#_x0000_t75" style="width:454.95pt;height:101.4pt;margin-top:74.3pt;margin-left:83.25pt;mso-position-horizontal-relative:page;mso-position-vertical-relative:page;position:absolute;z-index:-251236352">
            <v:imagedata r:id="rId387" o:title=""/>
          </v:shape>
        </w:pict>
      </w:r>
      <w:r>
        <w:rPr>
          <w:noProof/>
        </w:rPr>
        <w:pict>
          <v:shape id="_x0000_s1478" type="#_x0000_t75" style="width:471.05pt;height:257.05pt;margin-top:246.15pt;margin-left:67.3pt;mso-position-horizontal-relative:page;mso-position-vertical-relative:page;position:absolute;z-index:-251324416">
            <v:imagedata r:id="rId388" o:title=""/>
          </v:shape>
        </w:pict>
      </w:r>
      <w:r>
        <w:rPr>
          <w:noProof/>
        </w:rPr>
        <w:pict>
          <v:shape id="_x0000_s1479" type="#_x0000_t75" style="width:492.4pt;height:72.55pt;margin-top:656.75pt;margin-left:46.05pt;mso-position-horizontal-relative:page;mso-position-vertical-relative:page;position:absolute;z-index:-251460608">
            <v:imagedata r:id="rId389" o:title=""/>
          </v:shape>
        </w:pict>
      </w:r>
    </w:p>
    <w:p>
      <w:pPr>
        <w:spacing w:line="0" w:lineRule="atLeast"/>
        <w:rPr>
          <w:rFonts w:ascii="Arial" w:eastAsiaTheme="minorEastAsia" w:hAnsiTheme="minorHAnsi" w:cstheme="minorBidi"/>
          <w:color w:val="FF0000"/>
          <w:sz w:val="2"/>
          <w:szCs w:val="22"/>
          <w:lang w:val="en-US" w:eastAsia="en-US" w:bidi="ar-SA"/>
        </w:rPr>
      </w:pPr>
      <w:bookmarkStart w:id="194" w:name="br1_193"/>
      <w:bookmarkEnd w:id="194"/>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18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720"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本期实际核销的其他应收款情况</w:t>
      </w:r>
    </w:p>
    <w:p>
      <w:pPr>
        <w:framePr w:w="3720" w:x="1798" w:y="20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407" w:x="1798" w:y="3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按欠款方归集的期末余额前五名的其他应收款情况</w:t>
      </w:r>
    </w:p>
    <w:p>
      <w:pPr>
        <w:framePr w:w="1817" w:x="1798" w:y="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718" w:x="7552" w:y="4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占其他应收款期</w:t>
      </w:r>
    </w:p>
    <w:p>
      <w:pPr>
        <w:framePr w:w="1085" w:x="9516" w:y="4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085" w:x="9516" w:y="459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123" w:x="1798" w:y="4735"/>
        <w:widowControl w:val="0"/>
        <w:autoSpaceDE w:val="0"/>
        <w:autoSpaceDN w:val="0"/>
        <w:spacing w:line="211" w:lineRule="exact"/>
        <w:ind w:left="4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123" w:x="1798" w:y="4735"/>
        <w:widowControl w:val="0"/>
        <w:autoSpaceDE w:val="0"/>
        <w:autoSpaceDN w:val="0"/>
        <w:spacing w:before="3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单位一</w:t>
      </w:r>
    </w:p>
    <w:p>
      <w:pPr>
        <w:framePr w:w="1296" w:x="3118" w:y="4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款项的性质</w:t>
      </w:r>
    </w:p>
    <w:p>
      <w:pPr>
        <w:framePr w:w="1085" w:x="4854" w:y="4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6570" w:y="4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1718" w:x="7552" w:y="4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末余额合计数的</w:t>
      </w:r>
    </w:p>
    <w:p>
      <w:pPr>
        <w:framePr w:w="1718" w:x="7552" w:y="4735"/>
        <w:widowControl w:val="0"/>
        <w:autoSpaceDE w:val="0"/>
        <w:autoSpaceDN w:val="0"/>
        <w:spacing w:before="60" w:line="211" w:lineRule="exact"/>
        <w:ind w:left="367"/>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1296" w:x="3039" w:y="5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合并范围内</w:t>
      </w:r>
    </w:p>
    <w:p>
      <w:pPr>
        <w:framePr w:w="1296" w:x="3039" w:y="529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关联方往来</w:t>
      </w:r>
    </w:p>
    <w:p>
      <w:pPr>
        <w:framePr w:w="1296" w:x="3039" w:y="5290"/>
        <w:widowControl w:val="0"/>
        <w:autoSpaceDE w:val="0"/>
        <w:autoSpaceDN w:val="0"/>
        <w:spacing w:before="68"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代垫款</w:t>
      </w:r>
    </w:p>
    <w:p>
      <w:pPr>
        <w:framePr w:w="2789" w:x="4539" w:y="5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390,908,659.34</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768" w:x="8500" w:y="52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99.94</w:t>
      </w:r>
    </w:p>
    <w:p>
      <w:pPr>
        <w:framePr w:w="912" w:x="1798" w:y="58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单位二</w:t>
      </w:r>
    </w:p>
    <w:p>
      <w:pPr>
        <w:framePr w:w="912" w:x="1798" w:y="584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单位三</w:t>
      </w:r>
    </w:p>
    <w:p>
      <w:pPr>
        <w:framePr w:w="912" w:x="1798" w:y="58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单位四</w:t>
      </w:r>
    </w:p>
    <w:p>
      <w:pPr>
        <w:framePr w:w="912" w:x="1798" w:y="58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单位五</w:t>
      </w:r>
    </w:p>
    <w:p>
      <w:pPr>
        <w:framePr w:w="912" w:x="1798" w:y="5844"/>
        <w:widowControl w:val="0"/>
        <w:autoSpaceDE w:val="0"/>
        <w:autoSpaceDN w:val="0"/>
        <w:spacing w:before="70" w:line="211" w:lineRule="exact"/>
        <w:ind w:left="25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369" w:x="4959" w:y="58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130,789.80</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369" w:x="4959" w:y="5844"/>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61,382.50</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369" w:x="4959" w:y="5844"/>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18,400.00</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4-5</w:t>
      </w:r>
      <w:r>
        <w:rPr>
          <w:rFonts w:ascii="SimSun" w:hAnsi="SimSun" w:eastAsiaTheme="minorEastAsia" w:cs="SimSun"/>
          <w:color w:val="000000"/>
          <w:sz w:val="21"/>
          <w:szCs w:val="22"/>
          <w:lang w:val="en-US" w:eastAsia="en-US" w:bidi="ar-SA"/>
        </w:rPr>
        <w:t>年</w:t>
      </w:r>
    </w:p>
    <w:p>
      <w:pPr>
        <w:framePr w:w="768" w:x="8500" w:y="584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0.03</w:t>
      </w:r>
    </w:p>
    <w:p>
      <w:pPr>
        <w:framePr w:w="768" w:x="8500" w:y="584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0.02</w:t>
      </w:r>
    </w:p>
    <w:p>
      <w:pPr>
        <w:framePr w:w="768" w:x="8500" w:y="584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768" w:x="8500" w:y="584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768" w:x="8500" w:y="584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99.99</w:t>
      </w:r>
    </w:p>
    <w:p>
      <w:pPr>
        <w:framePr w:w="1085" w:x="9792" w:y="58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6,539.49</w:t>
      </w:r>
    </w:p>
    <w:p>
      <w:pPr>
        <w:framePr w:w="780" w:x="3039" w:y="612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代垫款</w:t>
      </w:r>
    </w:p>
    <w:p>
      <w:pPr>
        <w:framePr w:w="1190" w:x="9686" w:y="6125"/>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3,069.13</w:t>
      </w:r>
    </w:p>
    <w:p>
      <w:pPr>
        <w:framePr w:w="1190" w:x="9686" w:y="612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18,400.00</w:t>
      </w:r>
    </w:p>
    <w:p>
      <w:pPr>
        <w:framePr w:w="1190" w:x="9686" w:y="6125"/>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655.02</w:t>
      </w:r>
    </w:p>
    <w:p>
      <w:pPr>
        <w:framePr w:w="662" w:x="3039" w:y="64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押金</w:t>
      </w:r>
    </w:p>
    <w:p>
      <w:pPr>
        <w:framePr w:w="780" w:x="3039" w:y="668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代垫款</w:t>
      </w:r>
    </w:p>
    <w:p>
      <w:pPr>
        <w:framePr w:w="2264" w:x="5065" w:y="6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13,100.30</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346" w:x="3591" w:y="6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718" w:x="4539" w:y="6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391,132,331.94</w:t>
      </w:r>
    </w:p>
    <w:p>
      <w:pPr>
        <w:framePr w:w="346" w:x="6726" w:y="6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190" w:x="9686" w:y="6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28,663.64</w:t>
      </w:r>
    </w:p>
    <w:p>
      <w:pPr>
        <w:framePr w:w="3089" w:x="1798" w:y="73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涉及政府补助的应收款项</w:t>
      </w:r>
    </w:p>
    <w:p>
      <w:pPr>
        <w:framePr w:w="1817" w:x="1798" w:y="7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565" w:x="1798" w:y="82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因金融资产转移而终止确认的其他应收款</w:t>
      </w:r>
    </w:p>
    <w:p>
      <w:pPr>
        <w:framePr w:w="1922" w:x="1798" w:y="88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407" w:x="1798" w:y="92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转移其他应收款且继续涉入形成的资产、负债金额</w:t>
      </w:r>
    </w:p>
    <w:p>
      <w:pPr>
        <w:framePr w:w="1922" w:x="1798" w:y="97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2" w:x="1798" w:y="9747"/>
        <w:widowControl w:val="0"/>
        <w:autoSpaceDE w:val="0"/>
        <w:autoSpaceDN w:val="0"/>
        <w:spacing w:before="18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932" w:x="1798" w:y="106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10666"/>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长期股权投资</w:t>
      </w:r>
    </w:p>
    <w:p>
      <w:pPr>
        <w:framePr w:w="1932" w:x="1798" w:y="10666"/>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9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85" w:x="4638" w:y="122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4638" w:y="12280"/>
        <w:widowControl w:val="0"/>
        <w:autoSpaceDE w:val="0"/>
        <w:autoSpaceDN w:val="0"/>
        <w:spacing w:before="72" w:line="211" w:lineRule="exact"/>
        <w:ind w:left="37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w:t>
      </w:r>
    </w:p>
    <w:p>
      <w:pPr>
        <w:framePr w:w="1085" w:x="8964" w:y="122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8964" w:y="12280"/>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w:t>
      </w:r>
    </w:p>
    <w:p>
      <w:pPr>
        <w:framePr w:w="662" w:x="1373" w:y="12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3387" w:y="126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6056" w:y="126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7758" w:y="126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10168" w:y="126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662" w:x="5017" w:y="128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准备</w:t>
      </w:r>
    </w:p>
    <w:p>
      <w:pPr>
        <w:framePr w:w="662" w:x="9175" w:y="128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准备</w:t>
      </w:r>
    </w:p>
    <w:p>
      <w:pPr>
        <w:framePr w:w="2352" w:x="487" w:y="131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对子公司投资</w:t>
      </w:r>
    </w:p>
    <w:p>
      <w:pPr>
        <w:framePr w:w="2352" w:x="487" w:y="1311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对联营、合营企业投资</w:t>
      </w:r>
    </w:p>
    <w:p>
      <w:pPr>
        <w:framePr w:w="2352" w:x="487" w:y="13117"/>
        <w:widowControl w:val="0"/>
        <w:autoSpaceDE w:val="0"/>
        <w:autoSpaceDN w:val="0"/>
        <w:spacing w:before="72" w:line="211" w:lineRule="exact"/>
        <w:ind w:left="88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3248" w:y="131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3416" w:x="5749" w:y="131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456,866,171.33</w:t>
      </w:r>
    </w:p>
    <w:p>
      <w:pPr>
        <w:framePr w:w="1718" w:x="9861" w:y="131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9861" w:y="13117"/>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3248" w:y="136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3416" w:x="5749" w:y="136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456,866,171.33</w:t>
      </w:r>
    </w:p>
    <w:p>
      <w:pPr>
        <w:framePr w:w="2035" w:x="1798" w:y="140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对子公司投资</w:t>
      </w:r>
    </w:p>
    <w:p>
      <w:pPr>
        <w:framePr w:w="2035" w:x="1798" w:y="14084"/>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195</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80" type="#_x0000_t75" style="width:445.6pt;height:2.7pt;margin-top:53.65pt;margin-left:87.45pt;mso-position-horizontal-relative:page;mso-position-vertical-relative:page;position:absolute;z-index:-251235328">
            <v:imagedata r:id="rId390" o:title=""/>
          </v:shape>
        </w:pict>
      </w:r>
      <w:r>
        <w:rPr>
          <w:noProof/>
        </w:rPr>
        <w:pict>
          <v:shape id="_x0000_s1481" type="#_x0000_t75" style="width:454.95pt;height:142.2pt;margin-top:220.1pt;margin-left:83.25pt;mso-position-horizontal-relative:page;mso-position-vertical-relative:page;position:absolute;z-index:-251323392">
            <v:imagedata r:id="rId391" o:title=""/>
          </v:shape>
        </w:pict>
      </w:r>
      <w:r>
        <w:rPr>
          <w:noProof/>
        </w:rPr>
        <w:pict>
          <v:shape id="_x0000_s1482" type="#_x0000_t75" style="width:555.55pt;height:86.75pt;margin-top:611pt;margin-left:17.7pt;mso-position-horizontal-relative:page;mso-position-vertical-relative:page;position:absolute;z-index:-251459584">
            <v:imagedata r:id="rId392" o:title=""/>
          </v:shape>
        </w:pict>
      </w:r>
    </w:p>
    <w:p>
      <w:pPr>
        <w:spacing w:line="0" w:lineRule="atLeast"/>
        <w:rPr>
          <w:rFonts w:ascii="Arial" w:eastAsiaTheme="minorEastAsia" w:hAnsiTheme="minorHAnsi" w:cstheme="minorBidi"/>
          <w:color w:val="FF0000"/>
          <w:sz w:val="2"/>
          <w:szCs w:val="22"/>
          <w:lang w:val="en-US" w:eastAsia="en-US" w:bidi="ar-SA"/>
        </w:rPr>
      </w:pPr>
      <w:bookmarkStart w:id="195" w:name="br1_194"/>
      <w:bookmarkEnd w:id="195"/>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2554" w:x="8320"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874" w:x="8872"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本期计</w:t>
      </w:r>
    </w:p>
    <w:p>
      <w:pPr>
        <w:framePr w:w="874" w:x="8872" w:y="181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提减值</w:t>
      </w:r>
    </w:p>
    <w:p>
      <w:pPr>
        <w:framePr w:w="874" w:x="8872" w:y="1819"/>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准备</w:t>
      </w:r>
    </w:p>
    <w:p>
      <w:pPr>
        <w:framePr w:w="874" w:x="9907"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减值准</w:t>
      </w:r>
    </w:p>
    <w:p>
      <w:pPr>
        <w:framePr w:w="874" w:x="9907" w:y="181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备期末</w:t>
      </w:r>
    </w:p>
    <w:p>
      <w:pPr>
        <w:framePr w:w="874" w:x="9907" w:y="1819"/>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余额</w:t>
      </w:r>
    </w:p>
    <w:p>
      <w:pPr>
        <w:framePr w:w="874" w:x="5168" w:y="19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本期增</w:t>
      </w:r>
    </w:p>
    <w:p>
      <w:pPr>
        <w:framePr w:w="874" w:x="6152" w:y="19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本期减</w:t>
      </w:r>
    </w:p>
    <w:p>
      <w:pPr>
        <w:framePr w:w="874" w:x="6152" w:y="1956"/>
        <w:widowControl w:val="0"/>
        <w:autoSpaceDE w:val="0"/>
        <w:autoSpaceDN w:val="0"/>
        <w:spacing w:before="60" w:line="211" w:lineRule="exact"/>
        <w:ind w:left="21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w:t>
      </w:r>
    </w:p>
    <w:p>
      <w:pPr>
        <w:framePr w:w="1296" w:x="1983" w:y="20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被投资单位</w:t>
      </w:r>
    </w:p>
    <w:p>
      <w:pPr>
        <w:framePr w:w="1085" w:x="3747" w:y="20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7410" w:y="20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451" w:x="5377" w:y="22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w:t>
      </w:r>
    </w:p>
    <w:p>
      <w:pPr>
        <w:framePr w:w="1507" w:x="1798" w:y="26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w:t>
      </w:r>
    </w:p>
    <w:p>
      <w:pPr>
        <w:framePr w:w="1507" w:x="1798" w:y="26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w:t>
      </w:r>
    </w:p>
    <w:p>
      <w:pPr>
        <w:framePr w:w="1507" w:x="1798" w:y="26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w:t>
      </w:r>
    </w:p>
    <w:p>
      <w:pPr>
        <w:framePr w:w="1507" w:x="1798" w:y="26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济南瑞斯邦</w:t>
      </w:r>
    </w:p>
    <w:p>
      <w:pPr>
        <w:framePr w:w="1507" w:x="1798" w:y="26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博兴县盛信达</w:t>
      </w:r>
    </w:p>
    <w:p>
      <w:pPr>
        <w:framePr w:w="1507" w:x="1798" w:y="2647"/>
        <w:widowControl w:val="0"/>
        <w:autoSpaceDE w:val="0"/>
        <w:autoSpaceDN w:val="0"/>
        <w:spacing w:before="72" w:line="211" w:lineRule="exact"/>
        <w:ind w:left="49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3432" w:y="26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153,956,226.18</w:t>
      </w:r>
    </w:p>
    <w:p>
      <w:pPr>
        <w:framePr w:w="1718" w:x="3432" w:y="2647"/>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1,537,683.12</w:t>
      </w:r>
    </w:p>
    <w:p>
      <w:pPr>
        <w:framePr w:w="1718" w:x="3432" w:y="26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300,072,262.03</w:t>
      </w:r>
    </w:p>
    <w:p>
      <w:pPr>
        <w:framePr w:w="1718" w:x="3432" w:y="2647"/>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1,000,000.00</w:t>
      </w:r>
    </w:p>
    <w:p>
      <w:pPr>
        <w:framePr w:w="1718" w:x="3432" w:y="2647"/>
        <w:widowControl w:val="0"/>
        <w:autoSpaceDE w:val="0"/>
        <w:autoSpaceDN w:val="0"/>
        <w:spacing w:before="70" w:line="211" w:lineRule="exact"/>
        <w:ind w:left="42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300,000.00</w:t>
      </w:r>
    </w:p>
    <w:p>
      <w:pPr>
        <w:framePr w:w="1718" w:x="7096" w:y="26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153,956,226.18</w:t>
      </w:r>
    </w:p>
    <w:p>
      <w:pPr>
        <w:framePr w:w="1718" w:x="7096" w:y="2647"/>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1,537,683.12</w:t>
      </w:r>
    </w:p>
    <w:p>
      <w:pPr>
        <w:framePr w:w="1718" w:x="7096" w:y="26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300,072,262.03</w:t>
      </w:r>
    </w:p>
    <w:p>
      <w:pPr>
        <w:framePr w:w="1718" w:x="7096" w:y="2647"/>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1,000,000.00</w:t>
      </w:r>
    </w:p>
    <w:p>
      <w:pPr>
        <w:framePr w:w="1718" w:x="7096" w:y="2647"/>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300,000.00</w:t>
      </w:r>
    </w:p>
    <w:p>
      <w:pPr>
        <w:framePr w:w="1718" w:x="3432" w:y="4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7096" w:y="4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2878" w:x="1798" w:y="47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对联营、合营企业投资</w:t>
      </w:r>
    </w:p>
    <w:p>
      <w:pPr>
        <w:framePr w:w="2878" w:x="1798" w:y="473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878" w:x="1798" w:y="4733"/>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63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089" w:x="1798" w:y="68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营业收入和营业成本</w:t>
      </w:r>
    </w:p>
    <w:p>
      <w:pPr>
        <w:framePr w:w="3089" w:x="1798" w:y="6848"/>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营业收入和营业成本情况</w:t>
      </w:r>
    </w:p>
    <w:p>
      <w:pPr>
        <w:framePr w:w="3089" w:x="1798" w:y="6848"/>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783"/>
        <w:widowControl w:val="0"/>
        <w:autoSpaceDE w:val="0"/>
        <w:autoSpaceDN w:val="0"/>
        <w:spacing w:before="72" w:line="211" w:lineRule="exact"/>
        <w:ind w:left="10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296" w:x="4736" w:y="80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662" w:x="2316" w:y="82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4103" w:y="8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收入</w:t>
      </w:r>
    </w:p>
    <w:p>
      <w:pPr>
        <w:framePr w:w="662" w:x="5999" w:y="8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w:t>
      </w:r>
    </w:p>
    <w:p>
      <w:pPr>
        <w:framePr w:w="662" w:x="7895" w:y="8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收入</w:t>
      </w:r>
    </w:p>
    <w:p>
      <w:pPr>
        <w:framePr w:w="662" w:x="9688" w:y="8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w:t>
      </w:r>
    </w:p>
    <w:p>
      <w:pPr>
        <w:framePr w:w="1181" w:x="1798" w:y="86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w:t>
      </w:r>
    </w:p>
    <w:p>
      <w:pPr>
        <w:framePr w:w="1181" w:x="1798" w:y="863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其他业务</w:t>
      </w:r>
    </w:p>
    <w:p>
      <w:pPr>
        <w:framePr w:w="1181" w:x="1798" w:y="8631"/>
        <w:widowControl w:val="0"/>
        <w:autoSpaceDE w:val="0"/>
        <w:autoSpaceDN w:val="0"/>
        <w:spacing w:before="70" w:line="211" w:lineRule="exact"/>
        <w:ind w:left="51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7403" w:x="3473" w:y="86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1,292,379,267.29</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1,126,060,918.92</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1,230,467,808.64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921,704,290.64</w:t>
      </w:r>
    </w:p>
    <w:p>
      <w:pPr>
        <w:framePr w:w="7403" w:x="3473" w:y="8631"/>
        <w:widowControl w:val="0"/>
        <w:autoSpaceDE w:val="0"/>
        <w:autoSpaceDN w:val="0"/>
        <w:spacing w:before="72" w:line="211" w:lineRule="exact"/>
        <w:ind w:left="31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61,702,471.85</w:t>
      </w:r>
      <w:r>
        <w:rPr>
          <w:rFonts w:ascii="SimSun" w:eastAsiaTheme="minorEastAsia" w:hAnsiTheme="minorHAnsi" w:cstheme="minorBidi"/>
          <w:color w:val="000000"/>
          <w:spacing w:val="42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57,917,679.02</w:t>
      </w:r>
      <w:r>
        <w:rPr>
          <w:rFonts w:ascii="SimSun" w:eastAsiaTheme="minorEastAsia" w:hAnsiTheme="minorHAnsi" w:cstheme="minorBidi"/>
          <w:color w:val="000000"/>
          <w:spacing w:val="4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33,390,981.47</w:t>
      </w:r>
      <w:r>
        <w:rPr>
          <w:rFonts w:ascii="SimSun" w:eastAsiaTheme="minorEastAsia" w:hAnsiTheme="minorHAnsi" w:cstheme="minorBidi"/>
          <w:color w:val="000000"/>
          <w:spacing w:val="2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29,799,730.99</w:t>
      </w:r>
    </w:p>
    <w:p>
      <w:pPr>
        <w:framePr w:w="7403" w:x="3473" w:y="863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1,354,081,739.14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1,183,978,597.94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1,263,858,790.11</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951,504,021.63</w:t>
      </w:r>
    </w:p>
    <w:p>
      <w:pPr>
        <w:framePr w:w="3298" w:x="1798" w:y="9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合同产生的收入的情况</w:t>
      </w:r>
    </w:p>
    <w:p>
      <w:pPr>
        <w:framePr w:w="3298" w:x="1798" w:y="959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298" w:x="1798" w:y="9598"/>
        <w:widowControl w:val="0"/>
        <w:autoSpaceDE w:val="0"/>
        <w:autoSpaceDN w:val="0"/>
        <w:spacing w:before="31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履约义务的说明</w:t>
      </w:r>
    </w:p>
    <w:p>
      <w:pPr>
        <w:framePr w:w="3298" w:x="1798" w:y="959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298" w:x="1798" w:y="959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分摊至剩余履约义务的说明</w:t>
      </w:r>
    </w:p>
    <w:p>
      <w:pPr>
        <w:framePr w:w="3298" w:x="1798" w:y="959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298" w:x="1798" w:y="959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13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10" w:x="1798" w:y="13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投资收益</w:t>
      </w:r>
    </w:p>
    <w:p>
      <w:pPr>
        <w:framePr w:w="1817" w:x="1798" w:y="143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8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196</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83" type="#_x0000_t75" style="width:445.6pt;height:2.7pt;margin-top:53.65pt;margin-left:87.45pt;mso-position-horizontal-relative:page;mso-position-vertical-relative:page;position:absolute;z-index:-251234304">
            <v:imagedata r:id="rId393" o:title=""/>
          </v:shape>
        </w:pict>
      </w:r>
      <w:r>
        <w:rPr>
          <w:noProof/>
        </w:rPr>
        <w:pict>
          <v:shape id="_x0000_s1484" type="#_x0000_t75" style="width:454.95pt;height:128.6pt;margin-top:88pt;margin-left:83.25pt;mso-position-horizontal-relative:page;mso-position-vertical-relative:page;position:absolute;z-index:-251322368">
            <v:imagedata r:id="rId394" o:title=""/>
          </v:shape>
        </w:pict>
      </w:r>
      <w:r>
        <w:rPr>
          <w:noProof/>
        </w:rPr>
        <w:pict>
          <v:shape id="_x0000_s1485" type="#_x0000_t75" style="width:454.95pt;height:73.05pt;margin-top:400.35pt;margin-left:83.25pt;mso-position-horizontal-relative:page;mso-position-vertical-relative:page;position:absolute;z-index:-251458560">
            <v:imagedata r:id="rId395" o:title=""/>
          </v:shape>
        </w:pict>
      </w:r>
    </w:p>
    <w:p>
      <w:pPr>
        <w:spacing w:line="0" w:lineRule="atLeast"/>
        <w:rPr>
          <w:rFonts w:ascii="Arial" w:eastAsiaTheme="minorEastAsia" w:hAnsiTheme="minorHAnsi" w:cstheme="minorBidi"/>
          <w:color w:val="FF0000"/>
          <w:sz w:val="2"/>
          <w:szCs w:val="22"/>
          <w:lang w:val="en-US" w:eastAsia="en-US" w:bidi="ar-SA"/>
        </w:rPr>
      </w:pPr>
      <w:bookmarkStart w:id="196" w:name="br1_195"/>
      <w:bookmarkEnd w:id="196"/>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662" w:x="3144"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6373"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296" w:x="8863"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4464" w:x="1054"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成本法核算的长期股权投资收益</w:t>
      </w:r>
    </w:p>
    <w:p>
      <w:pPr>
        <w:framePr w:w="4464" w:x="1054"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权益法核算的长期股权投资收益</w:t>
      </w:r>
    </w:p>
    <w:p>
      <w:pPr>
        <w:framePr w:w="4464" w:x="1054"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处置长期股权投资产生的投资收益</w:t>
      </w:r>
    </w:p>
    <w:p>
      <w:pPr>
        <w:framePr w:w="4464" w:x="1054"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交易性金融资产在持有期间的投资收益</w:t>
      </w:r>
    </w:p>
    <w:p>
      <w:pPr>
        <w:framePr w:w="4464" w:x="1054"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其他权益工具投资在持有期间取得的股利收入</w:t>
      </w:r>
    </w:p>
    <w:p>
      <w:pPr>
        <w:framePr w:w="4464" w:x="1054"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债权投资在持有期间取得的利息收入</w:t>
      </w:r>
    </w:p>
    <w:p>
      <w:pPr>
        <w:framePr w:w="4464" w:x="1054"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其他债权投资在持有期间取得的利息收入</w:t>
      </w:r>
    </w:p>
    <w:p>
      <w:pPr>
        <w:framePr w:w="4464" w:x="1054"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处置交易性金融资产取得的投资收益</w:t>
      </w:r>
    </w:p>
    <w:p>
      <w:pPr>
        <w:framePr w:w="4464" w:x="1054"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处置其他权益工具投资取得的投资收益</w:t>
      </w:r>
    </w:p>
    <w:p>
      <w:pPr>
        <w:framePr w:w="4464" w:x="1054"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处置债权投资取得的投资收益</w:t>
      </w:r>
    </w:p>
    <w:p>
      <w:pPr>
        <w:framePr w:w="3408" w:x="1054" w:y="4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处置其他债权投资取得的投资收益</w:t>
      </w:r>
    </w:p>
    <w:p>
      <w:pPr>
        <w:framePr w:w="3408" w:x="1054" w:y="46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理财产品取得的投资收益</w:t>
      </w:r>
    </w:p>
    <w:p>
      <w:pPr>
        <w:framePr w:w="1507" w:x="6666" w:y="49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4,256,002.66</w:t>
      </w:r>
    </w:p>
    <w:p>
      <w:pPr>
        <w:framePr w:w="1507" w:x="9374" w:y="49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5,077,403.14</w:t>
      </w:r>
    </w:p>
    <w:p>
      <w:pPr>
        <w:framePr w:w="3619" w:x="1054" w:y="5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处置交易性金融资产取得的投资收益</w:t>
      </w:r>
    </w:p>
    <w:p>
      <w:pPr>
        <w:framePr w:w="3619" w:x="1054" w:y="5218"/>
        <w:widowControl w:val="0"/>
        <w:autoSpaceDE w:val="0"/>
        <w:autoSpaceDN w:val="0"/>
        <w:spacing w:before="72" w:line="211" w:lineRule="exact"/>
        <w:ind w:left="209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6666" w:y="521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-654,622.80</w:t>
      </w:r>
    </w:p>
    <w:p>
      <w:pPr>
        <w:framePr w:w="1507" w:x="6666" w:y="521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3,601,379.86</w:t>
      </w:r>
    </w:p>
    <w:p>
      <w:pPr>
        <w:framePr w:w="1718" w:x="9163" w:y="5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-15,414,939.63</w:t>
      </w:r>
    </w:p>
    <w:p>
      <w:pPr>
        <w:framePr w:w="1718" w:x="9163" w:y="521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-10,337,536.49</w:t>
      </w:r>
    </w:p>
    <w:p>
      <w:pPr>
        <w:framePr w:w="1296" w:x="1798" w:y="59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64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087" w:x="1798" w:y="69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2983" w:x="1798" w:y="74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3" w:x="1798" w:y="748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十八、</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补充资料</w:t>
      </w:r>
    </w:p>
    <w:p>
      <w:pPr>
        <w:framePr w:w="2983" w:x="1798" w:y="7488"/>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当期非经常性损益明细表</w:t>
      </w:r>
    </w:p>
    <w:p>
      <w:pPr>
        <w:framePr w:w="2983" w:x="1798" w:y="7488"/>
        <w:widowControl w:val="0"/>
        <w:autoSpaceDE w:val="0"/>
        <w:autoSpaceDN w:val="0"/>
        <w:spacing w:before="3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93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3889" w:x="912" w:y="9629"/>
        <w:widowControl w:val="0"/>
        <w:autoSpaceDE w:val="0"/>
        <w:autoSpaceDN w:val="0"/>
        <w:spacing w:line="211" w:lineRule="exact"/>
        <w:ind w:left="322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3889" w:x="912" w:y="96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非流动资产处置损益</w:t>
      </w:r>
    </w:p>
    <w:p>
      <w:pPr>
        <w:framePr w:w="662" w:x="8536" w:y="96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9957" w:y="96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说明</w:t>
      </w:r>
    </w:p>
    <w:p>
      <w:pPr>
        <w:framePr w:w="1190" w:x="8545" w:y="99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-9,382.26</w:t>
      </w:r>
    </w:p>
    <w:p>
      <w:pPr>
        <w:framePr w:w="4464" w:x="912" w:y="10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越权审批或无正式批准文件的税收返还、减免</w:t>
      </w:r>
    </w:p>
    <w:p>
      <w:pPr>
        <w:framePr w:w="7210" w:x="912" w:y="104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计入当期损益的政府补助（与企业业务密切相关，按照国家统一标准定额或</w:t>
      </w:r>
    </w:p>
    <w:p>
      <w:pPr>
        <w:framePr w:w="7210" w:x="912" w:y="1047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定量享受的政府补助除外）</w:t>
      </w:r>
    </w:p>
    <w:p>
      <w:pPr>
        <w:framePr w:w="1507" w:x="8231" w:y="104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6,586,100.30</w:t>
      </w:r>
    </w:p>
    <w:p>
      <w:pPr>
        <w:framePr w:w="7210" w:x="912" w:y="110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计入当期损益的对非金融企业收取的资金占用费</w:t>
      </w:r>
    </w:p>
    <w:p>
      <w:pPr>
        <w:framePr w:w="7210" w:x="912" w:y="1103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企业取得子公司、联营企业及合营企业的投资成本小于取得投资时应享有被</w:t>
      </w:r>
    </w:p>
    <w:p>
      <w:pPr>
        <w:framePr w:w="7210" w:x="912" w:y="1103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投资单位可辨认净资产公允价值产生的收益</w:t>
      </w:r>
    </w:p>
    <w:p>
      <w:pPr>
        <w:framePr w:w="7210" w:x="912" w:y="1103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非货币性资产交换损益</w:t>
      </w:r>
    </w:p>
    <w:p>
      <w:pPr>
        <w:framePr w:w="3197" w:x="912" w:y="12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委托他人投资或管理资产的损益</w:t>
      </w:r>
    </w:p>
    <w:p>
      <w:pPr>
        <w:framePr w:w="1507" w:x="8231" w:y="121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8,098,122.24</w:t>
      </w:r>
    </w:p>
    <w:p>
      <w:pPr>
        <w:framePr w:w="5942" w:x="912" w:y="124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因不可抗力因素，如遭受自然灾害而计提的各项资产减值准备</w:t>
      </w:r>
    </w:p>
    <w:p>
      <w:pPr>
        <w:framePr w:w="5942" w:x="912" w:y="1243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债务重组损益</w:t>
      </w:r>
    </w:p>
    <w:p>
      <w:pPr>
        <w:framePr w:w="5942" w:x="912" w:y="129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企业重组费用，如安置职工的支出、整合费用等</w:t>
      </w:r>
    </w:p>
    <w:p>
      <w:pPr>
        <w:framePr w:w="5942" w:x="912" w:y="1299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交易价格显失公允的交易产生的超过公允价值部分的损益</w:t>
      </w:r>
    </w:p>
    <w:p>
      <w:pPr>
        <w:framePr w:w="5942" w:x="912" w:y="1299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同一控制下企业合并产生的子公司期初至合并日的当期净损益</w:t>
      </w:r>
    </w:p>
    <w:p>
      <w:pPr>
        <w:framePr w:w="5942" w:x="912" w:y="1299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与公司正常经营业务无关的或有事项产生的损益</w:t>
      </w:r>
    </w:p>
    <w:p>
      <w:pPr>
        <w:framePr w:w="8822" w:x="912" w:y="141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除同公司正常经营业务相关的有效套期保值业务外，持有交易性金融资产、</w:t>
      </w:r>
      <w:r>
        <w:rPr>
          <w:rFonts w:eastAsiaTheme="minorEastAsia" w:hAnsiTheme="minorHAnsi" w:cstheme="minorBidi"/>
          <w:color w:val="000000"/>
          <w:spacing w:val="22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10,670,529.23</w:t>
      </w:r>
    </w:p>
    <w:p>
      <w:pPr>
        <w:framePr w:w="8822" w:x="912" w:y="1412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衍生金融资产、交易性金融负债、衍生金融负债产生的公允价值变动损益，</w:t>
      </w:r>
    </w:p>
    <w:p>
      <w:pPr>
        <w:framePr w:w="8822" w:x="912" w:y="1412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以及处置交易性金融资产、衍生金融资产、交易性金融负债、衍生金融负债</w:t>
      </w:r>
    </w:p>
    <w:p>
      <w:pPr>
        <w:framePr w:w="8822" w:x="912" w:y="1412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和其他债权投资取得的投资收益</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197</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486" type="#_x0000_t75" style="width:445.6pt;height:2.7pt;margin-top:53.65pt;margin-left:87.45pt;mso-position-horizontal-relative:page;mso-position-vertical-relative:page;position:absolute;z-index:-251233280">
            <v:imagedata r:id="rId396" o:title=""/>
          </v:shape>
        </w:pict>
      </w:r>
      <w:r>
        <w:rPr>
          <w:noProof/>
        </w:rPr>
        <w:pict>
          <v:shape id="_x0000_s1487" type="#_x0000_t75" style="width:492.3pt;height:214.35pt;margin-top:74.3pt;margin-left:46.05pt;mso-position-horizontal-relative:page;mso-position-vertical-relative:page;position:absolute;z-index:-251321344">
            <v:imagedata r:id="rId397" o:title=""/>
          </v:shape>
        </w:pict>
      </w:r>
      <w:r>
        <w:rPr>
          <w:noProof/>
        </w:rPr>
        <w:pict>
          <v:shape id="_x0000_s1488" type="#_x0000_t75" style="width:499.25pt;height:282.45pt;margin-top:478.4pt;margin-left:38.95pt;mso-position-horizontal-relative:page;mso-position-vertical-relative:page;position:absolute;z-index:-251457536">
            <v:imagedata r:id="rId398" o:title=""/>
          </v:shape>
        </w:pict>
      </w:r>
    </w:p>
    <w:p>
      <w:pPr>
        <w:spacing w:line="0" w:lineRule="atLeast"/>
        <w:rPr>
          <w:rFonts w:ascii="Arial" w:eastAsiaTheme="minorEastAsia" w:hAnsiTheme="minorHAnsi" w:cstheme="minorBidi"/>
          <w:color w:val="FF0000"/>
          <w:sz w:val="2"/>
          <w:szCs w:val="22"/>
          <w:lang w:val="en-US" w:eastAsia="en-US" w:bidi="ar-SA"/>
        </w:rPr>
      </w:pPr>
      <w:bookmarkStart w:id="197" w:name="br1_196"/>
      <w:bookmarkEnd w:id="197"/>
      <w:r>
        <w:rPr>
          <w:rFonts w:ascii="Arial" w:eastAsiaTheme="minorEastAsia" w:hAnsiTheme="minorHAnsi" w:cstheme="minorBidi"/>
          <w:color w:val="FF0000"/>
          <w:sz w:val="2"/>
          <w:szCs w:val="22"/>
          <w:lang w:val="en-US" w:eastAsia="en-US" w:bidi="ar-SA"/>
        </w:rPr>
        <w:t xml:space="preserve"> </w:t>
      </w:r>
    </w:p>
    <w:p>
      <w:pPr>
        <w:framePr w:w="1550" w:x="5550"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年年度报告</w:t>
      </w:r>
    </w:p>
    <w:p>
      <w:pPr>
        <w:framePr w:w="5309" w:x="912"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单独进行减值测试的应收款项、合同资产减值准备转回</w:t>
      </w:r>
    </w:p>
    <w:p>
      <w:pPr>
        <w:framePr w:w="1296" w:x="8440"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457,635.48</w:t>
      </w:r>
    </w:p>
    <w:p>
      <w:pPr>
        <w:framePr w:w="2563" w:x="912"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对外委托贷款取得的损益</w:t>
      </w:r>
    </w:p>
    <w:p>
      <w:pPr>
        <w:framePr w:w="6998" w:x="912"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采用公允价值模式进行后续计量的投资性房地产公允价值变动产生的损益</w:t>
      </w:r>
    </w:p>
    <w:p>
      <w:pPr>
        <w:framePr w:w="7210" w:x="912"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根据税收、会计等法律、法规的要求对当期损益进行一次性调整对当期损益</w:t>
      </w:r>
    </w:p>
    <w:p>
      <w:pPr>
        <w:framePr w:w="874" w:x="912" w:y="26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的影响</w:t>
      </w:r>
    </w:p>
    <w:p>
      <w:pPr>
        <w:framePr w:w="4042" w:x="912" w:y="2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受托经营取得的托管费收入</w:t>
      </w:r>
    </w:p>
    <w:p>
      <w:pPr>
        <w:framePr w:w="4042" w:x="912" w:y="29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除上述各项之外的其他营业外收入和支出</w:t>
      </w:r>
    </w:p>
    <w:p>
      <w:pPr>
        <w:framePr w:w="4042" w:x="912" w:y="29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其他符合非经常性损益定义的损益项目</w:t>
      </w:r>
    </w:p>
    <w:p>
      <w:pPr>
        <w:framePr w:w="4042" w:x="912" w:y="29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所得税影响额</w:t>
      </w:r>
    </w:p>
    <w:p>
      <w:pPr>
        <w:framePr w:w="1718" w:x="8020" w:y="32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-13,603,025.43</w:t>
      </w:r>
    </w:p>
    <w:p>
      <w:pPr>
        <w:framePr w:w="1718" w:x="8020" w:y="3230"/>
        <w:widowControl w:val="0"/>
        <w:autoSpaceDE w:val="0"/>
        <w:autoSpaceDN w:val="0"/>
        <w:spacing w:before="355"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-1,105,845.96</w:t>
      </w:r>
    </w:p>
    <w:p>
      <w:pPr>
        <w:framePr w:w="1718" w:x="8020" w:y="3230"/>
        <w:widowControl w:val="0"/>
        <w:autoSpaceDE w:val="0"/>
        <w:autoSpaceDN w:val="0"/>
        <w:spacing w:before="35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11,094,133.60</w:t>
      </w:r>
    </w:p>
    <w:p>
      <w:pPr>
        <w:framePr w:w="3889" w:x="912" w:y="4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少数股东权益影响额</w:t>
      </w:r>
    </w:p>
    <w:p>
      <w:pPr>
        <w:framePr w:w="3889" w:x="912" w:y="4077"/>
        <w:widowControl w:val="0"/>
        <w:autoSpaceDE w:val="0"/>
        <w:autoSpaceDN w:val="0"/>
        <w:spacing w:before="72" w:line="211" w:lineRule="exact"/>
        <w:ind w:left="322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9069" w:x="1798" w:y="50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对公司根据《公开发行证券的公司信息披露解释性公告第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号——非经常性损益》定义界定的非</w:t>
      </w:r>
    </w:p>
    <w:p>
      <w:pPr>
        <w:framePr w:w="9069" w:x="1798" w:y="50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经常性损益项目，以及把《公开发行证券的公司信息披露解释性公告第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号——非经常性损益》</w:t>
      </w:r>
    </w:p>
    <w:p>
      <w:pPr>
        <w:framePr w:w="9069" w:x="1798" w:y="50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中列举的非经常性损益项目界定为经常性损益的项目，应说明原因。</w:t>
      </w:r>
    </w:p>
    <w:p>
      <w:pPr>
        <w:framePr w:w="1817" w:x="1798" w:y="63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3" w:x="1798" w:y="69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净资产收益率及每股收益</w:t>
      </w:r>
    </w:p>
    <w:p>
      <w:pPr>
        <w:framePr w:w="1817" w:x="1798" w:y="72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8173" w:y="75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每股收益</w:t>
      </w:r>
    </w:p>
    <w:p>
      <w:pPr>
        <w:framePr w:w="1507" w:x="4983" w:y="75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加权平均净资</w:t>
      </w:r>
    </w:p>
    <w:p>
      <w:pPr>
        <w:framePr w:w="1296" w:x="2549" w:y="7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报告期利润</w:t>
      </w:r>
    </w:p>
    <w:p>
      <w:pPr>
        <w:framePr w:w="1613" w:x="4931" w:y="78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产收益率（</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838" w:x="6892" w:y="78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基本每股收益</w:t>
      </w:r>
    </w:p>
    <w:p>
      <w:pPr>
        <w:framePr w:w="1838" w:x="6892" w:y="7851"/>
        <w:widowControl w:val="0"/>
        <w:autoSpaceDE w:val="0"/>
        <w:autoSpaceDN w:val="0"/>
        <w:spacing w:before="115" w:line="211" w:lineRule="exact"/>
        <w:ind w:left="117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1.12</w:t>
      </w:r>
    </w:p>
    <w:p>
      <w:pPr>
        <w:framePr w:w="1838" w:x="6892" w:y="7851"/>
        <w:widowControl w:val="0"/>
        <w:autoSpaceDE w:val="0"/>
        <w:autoSpaceDN w:val="0"/>
        <w:spacing w:before="158" w:line="211" w:lineRule="exact"/>
        <w:ind w:left="117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1.05</w:t>
      </w:r>
    </w:p>
    <w:p>
      <w:pPr>
        <w:framePr w:w="1838" w:x="9038" w:y="78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稀释每股收益</w:t>
      </w:r>
    </w:p>
    <w:p>
      <w:pPr>
        <w:framePr w:w="1838" w:x="9038" w:y="7851"/>
        <w:widowControl w:val="0"/>
        <w:autoSpaceDE w:val="0"/>
        <w:autoSpaceDN w:val="0"/>
        <w:spacing w:before="115" w:line="211" w:lineRule="exact"/>
        <w:ind w:left="117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1.12</w:t>
      </w:r>
    </w:p>
    <w:p>
      <w:pPr>
        <w:framePr w:w="1838" w:x="9038" w:y="7851"/>
        <w:widowControl w:val="0"/>
        <w:autoSpaceDE w:val="0"/>
        <w:autoSpaceDN w:val="0"/>
        <w:spacing w:before="158" w:line="211" w:lineRule="exact"/>
        <w:ind w:left="117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1.05</w:t>
      </w:r>
    </w:p>
    <w:p>
      <w:pPr>
        <w:framePr w:w="3197" w:x="1479" w:y="81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归属于公司普通股股东的净利润</w:t>
      </w:r>
    </w:p>
    <w:p>
      <w:pPr>
        <w:framePr w:w="768" w:x="5814" w:y="81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10.81</w:t>
      </w:r>
    </w:p>
    <w:p>
      <w:pPr>
        <w:framePr w:w="768" w:x="5814" w:y="8177"/>
        <w:widowControl w:val="0"/>
        <w:autoSpaceDE w:val="0"/>
        <w:autoSpaceDN w:val="0"/>
        <w:spacing w:before="15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10.14</w:t>
      </w:r>
    </w:p>
    <w:p>
      <w:pPr>
        <w:framePr w:w="3408" w:x="1479" w:y="8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扣除非经常性损益后归属于公司普</w:t>
      </w:r>
    </w:p>
    <w:p>
      <w:pPr>
        <w:framePr w:w="3408" w:x="1479" w:y="854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通股股东的净利润</w:t>
      </w:r>
    </w:p>
    <w:p>
      <w:pPr>
        <w:framePr w:w="3614" w:x="1798" w:y="92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境内外会计准则下会计数据差异</w:t>
      </w:r>
    </w:p>
    <w:p>
      <w:pPr>
        <w:framePr w:w="3614" w:x="1798" w:y="9221"/>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102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2" w:x="1798" w:y="108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87" w:x="4741" w:y="11343"/>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Sun" w:hAnsi="SimSun" w:eastAsiaTheme="minorEastAsia" w:cs="SimSun"/>
          <w:color w:val="000000"/>
          <w:spacing w:val="2"/>
          <w:sz w:val="28"/>
          <w:szCs w:val="22"/>
          <w:lang w:val="en-US" w:eastAsia="en-US" w:bidi="ar-SA"/>
        </w:rPr>
        <w:t>第十二节</w:t>
      </w:r>
      <w:r>
        <w:rPr>
          <w:rFonts w:eastAsiaTheme="minorEastAsia" w:hAnsiTheme="minorHAnsi" w:cstheme="minorBidi"/>
          <w:color w:val="000000"/>
          <w:spacing w:val="64"/>
          <w:sz w:val="28"/>
          <w:szCs w:val="22"/>
          <w:lang w:val="en-US" w:eastAsia="en-US" w:bidi="ar-SA"/>
        </w:rPr>
        <w:t xml:space="preserve"> </w:t>
      </w:r>
      <w:r>
        <w:rPr>
          <w:rFonts w:ascii="SimSun" w:hAnsi="SimSun" w:eastAsiaTheme="minorEastAsia" w:cs="SimSun"/>
          <w:color w:val="000000"/>
          <w:spacing w:val="1"/>
          <w:sz w:val="28"/>
          <w:szCs w:val="22"/>
          <w:lang w:val="en-US" w:eastAsia="en-US" w:bidi="ar-SA"/>
        </w:rPr>
        <w:t>备查文件目录</w:t>
      </w:r>
    </w:p>
    <w:p>
      <w:pPr>
        <w:framePr w:w="9037" w:x="1664" w:y="123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备查文件目录</w:t>
      </w:r>
      <w:r>
        <w:rPr>
          <w:rFonts w:eastAsiaTheme="minorEastAsia" w:hAnsiTheme="minorHAnsi" w:cstheme="minorBidi"/>
          <w:color w:val="000000"/>
          <w:spacing w:val="126"/>
          <w:sz w:val="21"/>
          <w:szCs w:val="22"/>
          <w:lang w:val="en-US" w:eastAsia="en-US" w:bidi="ar-SA"/>
        </w:rPr>
        <w:t xml:space="preserve"> </w:t>
      </w:r>
      <w:r>
        <w:rPr>
          <w:rFonts w:ascii="SimSun" w:hAnsi="SimSun" w:eastAsiaTheme="minorEastAsia" w:cs="SimSun"/>
          <w:color w:val="000000"/>
          <w:sz w:val="21"/>
          <w:szCs w:val="22"/>
          <w:lang w:val="en-US" w:eastAsia="en-US" w:bidi="ar-SA"/>
        </w:rPr>
        <w:t>载有法定代表人、主管会计工作负责人、会计机构负责人签名并盖章的会计报表</w:t>
      </w:r>
    </w:p>
    <w:p>
      <w:pPr>
        <w:framePr w:w="9037" w:x="1664" w:y="1231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备查文件目录</w:t>
      </w:r>
      <w:r>
        <w:rPr>
          <w:rFonts w:eastAsiaTheme="minorEastAsia" w:hAnsiTheme="minorHAnsi" w:cstheme="minorBidi"/>
          <w:color w:val="000000"/>
          <w:spacing w:val="126"/>
          <w:sz w:val="21"/>
          <w:szCs w:val="22"/>
          <w:lang w:val="en-US" w:eastAsia="en-US" w:bidi="ar-SA"/>
        </w:rPr>
        <w:t xml:space="preserve"> </w:t>
      </w:r>
      <w:r>
        <w:rPr>
          <w:rFonts w:ascii="SimSun" w:hAnsi="SimSun" w:eastAsiaTheme="minorEastAsia" w:cs="SimSun"/>
          <w:color w:val="000000"/>
          <w:sz w:val="21"/>
          <w:szCs w:val="22"/>
          <w:lang w:val="en-US" w:eastAsia="en-US" w:bidi="ar-SA"/>
        </w:rPr>
        <w:t>载有会计师事务所盖章、注册会计师签名并盖章的审计报告原件</w:t>
      </w:r>
    </w:p>
    <w:p>
      <w:pPr>
        <w:framePr w:w="9037" w:x="1664" w:y="12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备查文件目录</w:t>
      </w:r>
      <w:r>
        <w:rPr>
          <w:rFonts w:eastAsiaTheme="minorEastAsia" w:hAnsiTheme="minorHAnsi" w:cstheme="minorBidi"/>
          <w:color w:val="000000"/>
          <w:spacing w:val="126"/>
          <w:sz w:val="21"/>
          <w:szCs w:val="22"/>
          <w:lang w:val="en-US" w:eastAsia="en-US" w:bidi="ar-SA"/>
        </w:rPr>
        <w:t xml:space="preserve"> </w:t>
      </w:r>
      <w:r>
        <w:rPr>
          <w:rFonts w:ascii="SimSun" w:hAnsi="SimSun" w:eastAsiaTheme="minorEastAsia" w:cs="SimSun"/>
          <w:color w:val="000000"/>
          <w:sz w:val="21"/>
          <w:szCs w:val="22"/>
          <w:lang w:val="en-US" w:eastAsia="en-US" w:bidi="ar-SA"/>
        </w:rPr>
        <w:t>报告期内在中国证监会指定报纸公开披露过的所有公司文件的正本及公告的原稿</w:t>
      </w:r>
    </w:p>
    <w:p>
      <w:pPr>
        <w:framePr w:w="1718" w:x="9156" w:y="132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董事长：王现全</w:t>
      </w:r>
    </w:p>
    <w:p>
      <w:pPr>
        <w:framePr w:w="3970" w:x="6897" w:y="135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董事会批准报送日期：</w:t>
      </w:r>
      <w:r>
        <w:rPr>
          <w:rFonts w:ascii="SimSun" w:eastAsiaTheme="minorEastAsia" w:hAnsiTheme="minorHAnsi" w:cstheme="minorBidi"/>
          <w:color w:val="000000"/>
          <w:spacing w:val="-1"/>
          <w:sz w:val="21"/>
          <w:szCs w:val="22"/>
          <w:lang w:val="en-US" w:eastAsia="en-US" w:bidi="ar-SA"/>
        </w:rPr>
        <w:t>2021</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26</w:t>
      </w:r>
      <w:r>
        <w:rPr>
          <w:rFonts w:ascii="SimSun" w:hAnsi="SimSun" w:eastAsiaTheme="minorEastAsia" w:cs="SimSun"/>
          <w:color w:val="000000"/>
          <w:sz w:val="21"/>
          <w:szCs w:val="22"/>
          <w:lang w:val="en-US" w:eastAsia="en-US" w:bidi="ar-SA"/>
        </w:rPr>
        <w:t>日</w:t>
      </w:r>
    </w:p>
    <w:p>
      <w:pPr>
        <w:framePr w:w="1204" w:x="1798" w:y="14650"/>
        <w:widowControl w:val="0"/>
        <w:autoSpaceDE w:val="0"/>
        <w:autoSpaceDN w:val="0"/>
        <w:spacing w:line="240" w:lineRule="exac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修订信息</w:t>
      </w:r>
    </w:p>
    <w:p>
      <w:pPr>
        <w:framePr w:w="1817" w:x="1798" w:y="149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609"/>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198</w:t>
      </w:r>
      <w:r>
        <w:rPr>
          <w:rFonts w:eastAsiaTheme="minorEastAsia" w:hAnsiTheme="minorHAnsi" w:cstheme="minorBidi"/>
          <w:b/>
          <w:color w:val="000000"/>
          <w:spacing w:val="-4"/>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198</w:t>
      </w:r>
    </w:p>
    <w:p>
      <w:pPr>
        <w:spacing w:line="0" w:lineRule="atLeast"/>
        <w:rPr>
          <w:rFonts w:ascii="Arial" w:eastAsiaTheme="minorEastAsia" w:hAnsiTheme="minorHAnsi" w:cstheme="minorBidi"/>
          <w:color w:val="FF0000"/>
          <w:sz w:val="2"/>
          <w:szCs w:val="22"/>
          <w:lang w:val="en-US" w:eastAsia="en-US" w:bidi="ar-SA"/>
        </w:rPr>
      </w:pPr>
      <w:r>
        <w:rPr>
          <w:noProof/>
        </w:rPr>
        <w:pict>
          <v:shape id="_x0000_s1489" type="#_x0000_t75" style="width:445.6pt;height:2.7pt;margin-top:53.65pt;margin-left:87.45pt;mso-position-horizontal-relative:page;mso-position-vertical-relative:page;position:absolute;z-index:-251193344">
            <v:imagedata r:id="rId399" o:title=""/>
          </v:shape>
        </w:pict>
      </w:r>
      <w:r>
        <w:rPr>
          <w:noProof/>
        </w:rPr>
        <w:pict>
          <v:shape id="_x0000_s1490" type="#_x0000_t75" style="width:499.25pt;height:157.3pt;margin-top:74.3pt;margin-left:38.95pt;mso-position-horizontal-relative:page;mso-position-vertical-relative:page;position:absolute;z-index:-251232256">
            <v:imagedata r:id="rId400" o:title=""/>
          </v:shape>
        </w:pict>
      </w:r>
      <w:r>
        <w:rPr>
          <w:noProof/>
        </w:rPr>
        <w:pict>
          <v:shape id="_x0000_s1491" type="#_x0000_t75" style="width:471.05pt;height:81.35pt;margin-top:373.25pt;margin-left:67.3pt;mso-position-horizontal-relative:page;mso-position-vertical-relative:page;position:absolute;z-index:-251320320">
            <v:imagedata r:id="rId401" o:title=""/>
          </v:shape>
        </w:pict>
      </w:r>
      <w:r>
        <w:rPr>
          <w:noProof/>
        </w:rPr>
        <w:pict>
          <v:shape id="_x0000_s1492" type="#_x0000_t75" style="width:459.9pt;height:44.85pt;margin-top:612.55pt;margin-left:74.5pt;mso-position-horizontal-relative:page;mso-position-vertical-relative:page;position:absolute;z-index:-251456512">
            <v:imagedata r:id="rId402"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01010101" w:usb1="01010101" w:usb2="01010101" w:usb3="01010101" w:csb0="01010105" w:csb1="01010101"/>
  </w:font>
  <w:font w:name="Cambria Math">
    <w:panose1 w:val="02040503050406030204"/>
    <w:charset w:val="CC"/>
    <w:family w:val="roman"/>
    <w:pitch w:val="variable"/>
    <w:sig w:usb0="01010101" w:usb1="01010101" w:usb2="01010101" w:usb3="01010101" w:csb0="01010105" w:csb1="01010101"/>
  </w:font>
  <w:font w:name="SimSun">
    <w:panose1 w:val="00000000000000000000"/>
    <w:charset w:val="01"/>
    <w:family w:val="auto"/>
    <w:notTrueType/>
    <w:pitch w:val="default"/>
    <w:sig w:usb0="01010101" w:usb1="01010101" w:usb2="01010101" w:usb3="01010101" w:csb0="01010101" w:csb1="01010101"/>
  </w:font>
  <w:font w:name="SimHei">
    <w:panose1 w:val="00000000000000000000"/>
    <w:charset w:val="01"/>
    <w:family w:val="auto"/>
    <w:notTrueType/>
    <w:pitch w:val="default"/>
    <w:sig w:usb0="01010101" w:usb1="01010101" w:usb2="01010101" w:usb3="01010101" w:csb0="01010101" w:csb1="0101010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jpe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jpe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image" Target="media/image132.jpeg" /><Relationship Id="rId136" Type="http://schemas.openxmlformats.org/officeDocument/2006/relationships/image" Target="media/image133.jpe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jpe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jpeg" /><Relationship Id="rId143" Type="http://schemas.openxmlformats.org/officeDocument/2006/relationships/image" Target="media/image140.jpe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image" Target="media/image143.jpeg" /><Relationship Id="rId147" Type="http://schemas.openxmlformats.org/officeDocument/2006/relationships/image" Target="media/image144.jpeg" /><Relationship Id="rId148" Type="http://schemas.openxmlformats.org/officeDocument/2006/relationships/image" Target="media/image145.jpeg" /><Relationship Id="rId149" Type="http://schemas.openxmlformats.org/officeDocument/2006/relationships/image" Target="media/image146.jpeg" /><Relationship Id="rId15" Type="http://schemas.openxmlformats.org/officeDocument/2006/relationships/image" Target="media/image12.jpeg" /><Relationship Id="rId150" Type="http://schemas.openxmlformats.org/officeDocument/2006/relationships/image" Target="media/image147.jpeg" /><Relationship Id="rId151" Type="http://schemas.openxmlformats.org/officeDocument/2006/relationships/image" Target="media/image148.jpeg" /><Relationship Id="rId152" Type="http://schemas.openxmlformats.org/officeDocument/2006/relationships/image" Target="media/image149.jpeg" /><Relationship Id="rId153" Type="http://schemas.openxmlformats.org/officeDocument/2006/relationships/image" Target="media/image150.jpeg" /><Relationship Id="rId154" Type="http://schemas.openxmlformats.org/officeDocument/2006/relationships/image" Target="media/image151.jpeg" /><Relationship Id="rId155" Type="http://schemas.openxmlformats.org/officeDocument/2006/relationships/image" Target="media/image152.jpeg" /><Relationship Id="rId156" Type="http://schemas.openxmlformats.org/officeDocument/2006/relationships/image" Target="media/image153.jpeg" /><Relationship Id="rId157" Type="http://schemas.openxmlformats.org/officeDocument/2006/relationships/image" Target="media/image154.jpeg" /><Relationship Id="rId158" Type="http://schemas.openxmlformats.org/officeDocument/2006/relationships/image" Target="media/image155.jpeg" /><Relationship Id="rId159" Type="http://schemas.openxmlformats.org/officeDocument/2006/relationships/image" Target="media/image156.jpeg" /><Relationship Id="rId16" Type="http://schemas.openxmlformats.org/officeDocument/2006/relationships/image" Target="media/image13.jpeg" /><Relationship Id="rId160" Type="http://schemas.openxmlformats.org/officeDocument/2006/relationships/image" Target="media/image157.jpeg" /><Relationship Id="rId161" Type="http://schemas.openxmlformats.org/officeDocument/2006/relationships/image" Target="media/image158.jpeg" /><Relationship Id="rId162" Type="http://schemas.openxmlformats.org/officeDocument/2006/relationships/image" Target="media/image159.jpeg" /><Relationship Id="rId163" Type="http://schemas.openxmlformats.org/officeDocument/2006/relationships/image" Target="media/image160.jpeg" /><Relationship Id="rId164" Type="http://schemas.openxmlformats.org/officeDocument/2006/relationships/image" Target="media/image161.jpeg" /><Relationship Id="rId165" Type="http://schemas.openxmlformats.org/officeDocument/2006/relationships/image" Target="media/image162.jpeg" /><Relationship Id="rId166" Type="http://schemas.openxmlformats.org/officeDocument/2006/relationships/image" Target="media/image163.jpeg" /><Relationship Id="rId167" Type="http://schemas.openxmlformats.org/officeDocument/2006/relationships/image" Target="media/image164.jpeg" /><Relationship Id="rId168" Type="http://schemas.openxmlformats.org/officeDocument/2006/relationships/image" Target="media/image165.jpeg" /><Relationship Id="rId169" Type="http://schemas.openxmlformats.org/officeDocument/2006/relationships/image" Target="media/image166.jpeg" /><Relationship Id="rId17" Type="http://schemas.openxmlformats.org/officeDocument/2006/relationships/image" Target="media/image14.jpeg" /><Relationship Id="rId170" Type="http://schemas.openxmlformats.org/officeDocument/2006/relationships/image" Target="media/image167.jpeg" /><Relationship Id="rId171" Type="http://schemas.openxmlformats.org/officeDocument/2006/relationships/image" Target="media/image168.jpeg" /><Relationship Id="rId172" Type="http://schemas.openxmlformats.org/officeDocument/2006/relationships/image" Target="media/image169.jpeg" /><Relationship Id="rId173" Type="http://schemas.openxmlformats.org/officeDocument/2006/relationships/image" Target="media/image170.jpeg" /><Relationship Id="rId174" Type="http://schemas.openxmlformats.org/officeDocument/2006/relationships/image" Target="media/image171.jpeg" /><Relationship Id="rId175" Type="http://schemas.openxmlformats.org/officeDocument/2006/relationships/image" Target="media/image172.jpeg" /><Relationship Id="rId176" Type="http://schemas.openxmlformats.org/officeDocument/2006/relationships/image" Target="media/image173.jpeg" /><Relationship Id="rId177" Type="http://schemas.openxmlformats.org/officeDocument/2006/relationships/image" Target="media/image174.jpeg" /><Relationship Id="rId178" Type="http://schemas.openxmlformats.org/officeDocument/2006/relationships/image" Target="media/image175.jpeg" /><Relationship Id="rId179" Type="http://schemas.openxmlformats.org/officeDocument/2006/relationships/image" Target="media/image176.jpeg" /><Relationship Id="rId18" Type="http://schemas.openxmlformats.org/officeDocument/2006/relationships/image" Target="media/image15.jpeg" /><Relationship Id="rId180" Type="http://schemas.openxmlformats.org/officeDocument/2006/relationships/image" Target="media/image177.jpeg" /><Relationship Id="rId181" Type="http://schemas.openxmlformats.org/officeDocument/2006/relationships/image" Target="media/image178.jpeg" /><Relationship Id="rId182" Type="http://schemas.openxmlformats.org/officeDocument/2006/relationships/image" Target="media/image179.jpeg" /><Relationship Id="rId183" Type="http://schemas.openxmlformats.org/officeDocument/2006/relationships/image" Target="media/image180.jpeg" /><Relationship Id="rId184" Type="http://schemas.openxmlformats.org/officeDocument/2006/relationships/image" Target="media/image181.jpeg" /><Relationship Id="rId185" Type="http://schemas.openxmlformats.org/officeDocument/2006/relationships/image" Target="media/image182.jpeg" /><Relationship Id="rId186" Type="http://schemas.openxmlformats.org/officeDocument/2006/relationships/image" Target="media/image183.jpeg" /><Relationship Id="rId187" Type="http://schemas.openxmlformats.org/officeDocument/2006/relationships/image" Target="media/image184.jpeg" /><Relationship Id="rId188" Type="http://schemas.openxmlformats.org/officeDocument/2006/relationships/image" Target="media/image185.jpeg" /><Relationship Id="rId189" Type="http://schemas.openxmlformats.org/officeDocument/2006/relationships/image" Target="media/image186.jpeg" /><Relationship Id="rId19" Type="http://schemas.openxmlformats.org/officeDocument/2006/relationships/image" Target="media/image16.jpeg" /><Relationship Id="rId190" Type="http://schemas.openxmlformats.org/officeDocument/2006/relationships/image" Target="media/image187.jpeg" /><Relationship Id="rId191" Type="http://schemas.openxmlformats.org/officeDocument/2006/relationships/image" Target="media/image188.jpeg" /><Relationship Id="rId192" Type="http://schemas.openxmlformats.org/officeDocument/2006/relationships/image" Target="media/image189.jpeg" /><Relationship Id="rId193" Type="http://schemas.openxmlformats.org/officeDocument/2006/relationships/image" Target="media/image190.jpeg" /><Relationship Id="rId194" Type="http://schemas.openxmlformats.org/officeDocument/2006/relationships/image" Target="media/image191.jpeg" /><Relationship Id="rId195" Type="http://schemas.openxmlformats.org/officeDocument/2006/relationships/image" Target="media/image192.jpeg" /><Relationship Id="rId196" Type="http://schemas.openxmlformats.org/officeDocument/2006/relationships/image" Target="media/image193.jpeg" /><Relationship Id="rId197" Type="http://schemas.openxmlformats.org/officeDocument/2006/relationships/image" Target="media/image194.jpeg" /><Relationship Id="rId198" Type="http://schemas.openxmlformats.org/officeDocument/2006/relationships/image" Target="media/image195.jpeg" /><Relationship Id="rId199" Type="http://schemas.openxmlformats.org/officeDocument/2006/relationships/image" Target="media/image196.jpeg" /><Relationship Id="rId2" Type="http://schemas.openxmlformats.org/officeDocument/2006/relationships/webSettings" Target="webSettings.xml" /><Relationship Id="rId20" Type="http://schemas.openxmlformats.org/officeDocument/2006/relationships/image" Target="media/image17.jpeg" /><Relationship Id="rId200" Type="http://schemas.openxmlformats.org/officeDocument/2006/relationships/image" Target="media/image197.jpeg" /><Relationship Id="rId201" Type="http://schemas.openxmlformats.org/officeDocument/2006/relationships/image" Target="media/image198.jpeg" /><Relationship Id="rId202" Type="http://schemas.openxmlformats.org/officeDocument/2006/relationships/image" Target="media/image199.jpeg" /><Relationship Id="rId203" Type="http://schemas.openxmlformats.org/officeDocument/2006/relationships/image" Target="media/image200.jpeg" /><Relationship Id="rId204" Type="http://schemas.openxmlformats.org/officeDocument/2006/relationships/image" Target="media/image201.jpeg" /><Relationship Id="rId205" Type="http://schemas.openxmlformats.org/officeDocument/2006/relationships/image" Target="media/image202.jpeg" /><Relationship Id="rId206" Type="http://schemas.openxmlformats.org/officeDocument/2006/relationships/image" Target="media/image203.jpeg" /><Relationship Id="rId207" Type="http://schemas.openxmlformats.org/officeDocument/2006/relationships/image" Target="media/image204.jpeg" /><Relationship Id="rId208" Type="http://schemas.openxmlformats.org/officeDocument/2006/relationships/image" Target="media/image205.jpeg" /><Relationship Id="rId209" Type="http://schemas.openxmlformats.org/officeDocument/2006/relationships/image" Target="media/image206.jpeg" /><Relationship Id="rId21" Type="http://schemas.openxmlformats.org/officeDocument/2006/relationships/image" Target="media/image18.jpeg" /><Relationship Id="rId210" Type="http://schemas.openxmlformats.org/officeDocument/2006/relationships/image" Target="media/image207.jpeg" /><Relationship Id="rId211" Type="http://schemas.openxmlformats.org/officeDocument/2006/relationships/image" Target="media/image208.jpeg" /><Relationship Id="rId212" Type="http://schemas.openxmlformats.org/officeDocument/2006/relationships/image" Target="media/image209.jpeg" /><Relationship Id="rId213" Type="http://schemas.openxmlformats.org/officeDocument/2006/relationships/image" Target="media/image210.jpeg" /><Relationship Id="rId214" Type="http://schemas.openxmlformats.org/officeDocument/2006/relationships/image" Target="media/image211.jpeg" /><Relationship Id="rId215" Type="http://schemas.openxmlformats.org/officeDocument/2006/relationships/image" Target="media/image212.jpeg" /><Relationship Id="rId216" Type="http://schemas.openxmlformats.org/officeDocument/2006/relationships/image" Target="media/image213.jpeg" /><Relationship Id="rId217" Type="http://schemas.openxmlformats.org/officeDocument/2006/relationships/image" Target="media/image214.jpeg" /><Relationship Id="rId218" Type="http://schemas.openxmlformats.org/officeDocument/2006/relationships/image" Target="media/image215.jpeg" /><Relationship Id="rId219" Type="http://schemas.openxmlformats.org/officeDocument/2006/relationships/image" Target="media/image216.jpeg" /><Relationship Id="rId22" Type="http://schemas.openxmlformats.org/officeDocument/2006/relationships/image" Target="media/image19.jpeg" /><Relationship Id="rId220" Type="http://schemas.openxmlformats.org/officeDocument/2006/relationships/image" Target="media/image217.jpeg" /><Relationship Id="rId221" Type="http://schemas.openxmlformats.org/officeDocument/2006/relationships/image" Target="media/image218.jpeg" /><Relationship Id="rId222" Type="http://schemas.openxmlformats.org/officeDocument/2006/relationships/image" Target="media/image219.jpeg" /><Relationship Id="rId223" Type="http://schemas.openxmlformats.org/officeDocument/2006/relationships/image" Target="media/image220.jpeg" /><Relationship Id="rId224" Type="http://schemas.openxmlformats.org/officeDocument/2006/relationships/image" Target="media/image221.jpeg" /><Relationship Id="rId225" Type="http://schemas.openxmlformats.org/officeDocument/2006/relationships/image" Target="media/image222.jpeg" /><Relationship Id="rId226" Type="http://schemas.openxmlformats.org/officeDocument/2006/relationships/image" Target="media/image223.jpeg" /><Relationship Id="rId227" Type="http://schemas.openxmlformats.org/officeDocument/2006/relationships/image" Target="media/image224.jpeg" /><Relationship Id="rId228" Type="http://schemas.openxmlformats.org/officeDocument/2006/relationships/image" Target="media/image225.jpeg" /><Relationship Id="rId229" Type="http://schemas.openxmlformats.org/officeDocument/2006/relationships/image" Target="media/image226.jpeg" /><Relationship Id="rId23" Type="http://schemas.openxmlformats.org/officeDocument/2006/relationships/image" Target="media/image20.jpeg" /><Relationship Id="rId230" Type="http://schemas.openxmlformats.org/officeDocument/2006/relationships/image" Target="media/image227.jpeg" /><Relationship Id="rId231" Type="http://schemas.openxmlformats.org/officeDocument/2006/relationships/image" Target="media/image228.jpeg" /><Relationship Id="rId232" Type="http://schemas.openxmlformats.org/officeDocument/2006/relationships/image" Target="media/image229.jpeg" /><Relationship Id="rId233" Type="http://schemas.openxmlformats.org/officeDocument/2006/relationships/image" Target="media/image230.jpeg" /><Relationship Id="rId234" Type="http://schemas.openxmlformats.org/officeDocument/2006/relationships/image" Target="media/image231.jpeg" /><Relationship Id="rId235" Type="http://schemas.openxmlformats.org/officeDocument/2006/relationships/image" Target="media/image232.jpeg" /><Relationship Id="rId236" Type="http://schemas.openxmlformats.org/officeDocument/2006/relationships/image" Target="media/image233.jpeg" /><Relationship Id="rId237" Type="http://schemas.openxmlformats.org/officeDocument/2006/relationships/image" Target="media/image234.jpeg" /><Relationship Id="rId238" Type="http://schemas.openxmlformats.org/officeDocument/2006/relationships/image" Target="media/image235.jpeg" /><Relationship Id="rId239" Type="http://schemas.openxmlformats.org/officeDocument/2006/relationships/image" Target="media/image236.jpeg" /><Relationship Id="rId24" Type="http://schemas.openxmlformats.org/officeDocument/2006/relationships/image" Target="media/image21.jpeg" /><Relationship Id="rId240" Type="http://schemas.openxmlformats.org/officeDocument/2006/relationships/image" Target="media/image237.jpeg" /><Relationship Id="rId241" Type="http://schemas.openxmlformats.org/officeDocument/2006/relationships/image" Target="media/image238.jpeg" /><Relationship Id="rId242" Type="http://schemas.openxmlformats.org/officeDocument/2006/relationships/image" Target="media/image239.jpeg" /><Relationship Id="rId243" Type="http://schemas.openxmlformats.org/officeDocument/2006/relationships/image" Target="media/image240.jpeg" /><Relationship Id="rId244" Type="http://schemas.openxmlformats.org/officeDocument/2006/relationships/image" Target="media/image241.jpeg" /><Relationship Id="rId245" Type="http://schemas.openxmlformats.org/officeDocument/2006/relationships/image" Target="media/image242.jpeg" /><Relationship Id="rId246" Type="http://schemas.openxmlformats.org/officeDocument/2006/relationships/image" Target="media/image243.jpeg" /><Relationship Id="rId247" Type="http://schemas.openxmlformats.org/officeDocument/2006/relationships/image" Target="media/image244.jpeg" /><Relationship Id="rId248" Type="http://schemas.openxmlformats.org/officeDocument/2006/relationships/image" Target="media/image245.jpeg" /><Relationship Id="rId249" Type="http://schemas.openxmlformats.org/officeDocument/2006/relationships/image" Target="media/image246.jpeg" /><Relationship Id="rId25" Type="http://schemas.openxmlformats.org/officeDocument/2006/relationships/image" Target="media/image22.jpeg" /><Relationship Id="rId250" Type="http://schemas.openxmlformats.org/officeDocument/2006/relationships/image" Target="media/image247.jpeg" /><Relationship Id="rId251" Type="http://schemas.openxmlformats.org/officeDocument/2006/relationships/image" Target="media/image248.jpeg" /><Relationship Id="rId252" Type="http://schemas.openxmlformats.org/officeDocument/2006/relationships/image" Target="media/image249.jpeg" /><Relationship Id="rId253" Type="http://schemas.openxmlformats.org/officeDocument/2006/relationships/image" Target="media/image250.jpeg" /><Relationship Id="rId254" Type="http://schemas.openxmlformats.org/officeDocument/2006/relationships/image" Target="media/image251.jpeg" /><Relationship Id="rId255" Type="http://schemas.openxmlformats.org/officeDocument/2006/relationships/image" Target="media/image252.jpeg" /><Relationship Id="rId256" Type="http://schemas.openxmlformats.org/officeDocument/2006/relationships/image" Target="media/image253.jpeg" /><Relationship Id="rId257" Type="http://schemas.openxmlformats.org/officeDocument/2006/relationships/image" Target="media/image254.jpeg" /><Relationship Id="rId258" Type="http://schemas.openxmlformats.org/officeDocument/2006/relationships/image" Target="media/image255.jpeg" /><Relationship Id="rId259" Type="http://schemas.openxmlformats.org/officeDocument/2006/relationships/image" Target="media/image256.jpeg" /><Relationship Id="rId26" Type="http://schemas.openxmlformats.org/officeDocument/2006/relationships/image" Target="media/image23.jpeg" /><Relationship Id="rId260" Type="http://schemas.openxmlformats.org/officeDocument/2006/relationships/image" Target="media/image257.jpeg" /><Relationship Id="rId261" Type="http://schemas.openxmlformats.org/officeDocument/2006/relationships/image" Target="media/image258.jpeg" /><Relationship Id="rId262" Type="http://schemas.openxmlformats.org/officeDocument/2006/relationships/image" Target="media/image259.jpeg" /><Relationship Id="rId263" Type="http://schemas.openxmlformats.org/officeDocument/2006/relationships/image" Target="media/image260.jpeg" /><Relationship Id="rId264" Type="http://schemas.openxmlformats.org/officeDocument/2006/relationships/image" Target="media/image261.jpeg" /><Relationship Id="rId265" Type="http://schemas.openxmlformats.org/officeDocument/2006/relationships/image" Target="media/image262.jpeg" /><Relationship Id="rId266" Type="http://schemas.openxmlformats.org/officeDocument/2006/relationships/image" Target="media/image263.jpeg" /><Relationship Id="rId267" Type="http://schemas.openxmlformats.org/officeDocument/2006/relationships/image" Target="media/image264.jpeg" /><Relationship Id="rId268" Type="http://schemas.openxmlformats.org/officeDocument/2006/relationships/image" Target="media/image265.jpeg" /><Relationship Id="rId269" Type="http://schemas.openxmlformats.org/officeDocument/2006/relationships/image" Target="media/image266.jpeg" /><Relationship Id="rId27" Type="http://schemas.openxmlformats.org/officeDocument/2006/relationships/image" Target="media/image24.jpeg" /><Relationship Id="rId270" Type="http://schemas.openxmlformats.org/officeDocument/2006/relationships/image" Target="media/image267.jpeg" /><Relationship Id="rId271" Type="http://schemas.openxmlformats.org/officeDocument/2006/relationships/image" Target="media/image268.jpeg" /><Relationship Id="rId272" Type="http://schemas.openxmlformats.org/officeDocument/2006/relationships/image" Target="media/image269.jpeg" /><Relationship Id="rId273" Type="http://schemas.openxmlformats.org/officeDocument/2006/relationships/image" Target="media/image270.jpeg" /><Relationship Id="rId274" Type="http://schemas.openxmlformats.org/officeDocument/2006/relationships/image" Target="media/image271.jpeg" /><Relationship Id="rId275" Type="http://schemas.openxmlformats.org/officeDocument/2006/relationships/image" Target="media/image272.jpeg" /><Relationship Id="rId276" Type="http://schemas.openxmlformats.org/officeDocument/2006/relationships/image" Target="media/image273.jpeg" /><Relationship Id="rId277" Type="http://schemas.openxmlformats.org/officeDocument/2006/relationships/image" Target="media/image274.jpeg" /><Relationship Id="rId278" Type="http://schemas.openxmlformats.org/officeDocument/2006/relationships/image" Target="media/image275.jpeg" /><Relationship Id="rId279" Type="http://schemas.openxmlformats.org/officeDocument/2006/relationships/image" Target="media/image276.jpeg" /><Relationship Id="rId28" Type="http://schemas.openxmlformats.org/officeDocument/2006/relationships/image" Target="media/image25.jpeg" /><Relationship Id="rId280" Type="http://schemas.openxmlformats.org/officeDocument/2006/relationships/image" Target="media/image277.jpeg" /><Relationship Id="rId281" Type="http://schemas.openxmlformats.org/officeDocument/2006/relationships/image" Target="media/image278.jpeg" /><Relationship Id="rId282" Type="http://schemas.openxmlformats.org/officeDocument/2006/relationships/image" Target="media/image279.jpeg" /><Relationship Id="rId283" Type="http://schemas.openxmlformats.org/officeDocument/2006/relationships/image" Target="media/image280.jpeg" /><Relationship Id="rId284" Type="http://schemas.openxmlformats.org/officeDocument/2006/relationships/image" Target="media/image281.jpeg" /><Relationship Id="rId285" Type="http://schemas.openxmlformats.org/officeDocument/2006/relationships/image" Target="media/image282.jpeg" /><Relationship Id="rId286" Type="http://schemas.openxmlformats.org/officeDocument/2006/relationships/image" Target="media/image283.jpeg" /><Relationship Id="rId287" Type="http://schemas.openxmlformats.org/officeDocument/2006/relationships/image" Target="media/image284.jpeg" /><Relationship Id="rId288" Type="http://schemas.openxmlformats.org/officeDocument/2006/relationships/image" Target="media/image285.jpeg" /><Relationship Id="rId289" Type="http://schemas.openxmlformats.org/officeDocument/2006/relationships/image" Target="media/image286.jpeg" /><Relationship Id="rId29" Type="http://schemas.openxmlformats.org/officeDocument/2006/relationships/image" Target="media/image26.jpeg" /><Relationship Id="rId290" Type="http://schemas.openxmlformats.org/officeDocument/2006/relationships/image" Target="media/image287.jpeg" /><Relationship Id="rId291" Type="http://schemas.openxmlformats.org/officeDocument/2006/relationships/image" Target="media/image288.jpeg" /><Relationship Id="rId292" Type="http://schemas.openxmlformats.org/officeDocument/2006/relationships/image" Target="media/image289.jpeg" /><Relationship Id="rId293" Type="http://schemas.openxmlformats.org/officeDocument/2006/relationships/image" Target="media/image290.jpeg" /><Relationship Id="rId294" Type="http://schemas.openxmlformats.org/officeDocument/2006/relationships/image" Target="media/image291.jpeg" /><Relationship Id="rId295" Type="http://schemas.openxmlformats.org/officeDocument/2006/relationships/image" Target="media/image292.jpeg" /><Relationship Id="rId296" Type="http://schemas.openxmlformats.org/officeDocument/2006/relationships/image" Target="media/image293.jpeg" /><Relationship Id="rId297" Type="http://schemas.openxmlformats.org/officeDocument/2006/relationships/image" Target="media/image294.jpeg" /><Relationship Id="rId298" Type="http://schemas.openxmlformats.org/officeDocument/2006/relationships/image" Target="media/image295.jpeg" /><Relationship Id="rId299" Type="http://schemas.openxmlformats.org/officeDocument/2006/relationships/image" Target="media/image296.jpeg" /><Relationship Id="rId3" Type="http://schemas.openxmlformats.org/officeDocument/2006/relationships/fontTable" Target="fontTable.xml" /><Relationship Id="rId30" Type="http://schemas.openxmlformats.org/officeDocument/2006/relationships/image" Target="media/image27.jpeg" /><Relationship Id="rId300" Type="http://schemas.openxmlformats.org/officeDocument/2006/relationships/image" Target="media/image297.jpeg" /><Relationship Id="rId301" Type="http://schemas.openxmlformats.org/officeDocument/2006/relationships/image" Target="media/image298.jpeg" /><Relationship Id="rId302" Type="http://schemas.openxmlformats.org/officeDocument/2006/relationships/image" Target="media/image299.jpeg" /><Relationship Id="rId303" Type="http://schemas.openxmlformats.org/officeDocument/2006/relationships/image" Target="media/image300.jpeg" /><Relationship Id="rId304" Type="http://schemas.openxmlformats.org/officeDocument/2006/relationships/image" Target="media/image301.jpeg" /><Relationship Id="rId305" Type="http://schemas.openxmlformats.org/officeDocument/2006/relationships/image" Target="media/image302.jpeg" /><Relationship Id="rId306" Type="http://schemas.openxmlformats.org/officeDocument/2006/relationships/image" Target="media/image303.jpeg" /><Relationship Id="rId307" Type="http://schemas.openxmlformats.org/officeDocument/2006/relationships/image" Target="media/image304.jpeg" /><Relationship Id="rId308" Type="http://schemas.openxmlformats.org/officeDocument/2006/relationships/image" Target="media/image305.jpeg" /><Relationship Id="rId309" Type="http://schemas.openxmlformats.org/officeDocument/2006/relationships/image" Target="media/image306.jpeg" /><Relationship Id="rId31" Type="http://schemas.openxmlformats.org/officeDocument/2006/relationships/image" Target="media/image28.jpeg" /><Relationship Id="rId310" Type="http://schemas.openxmlformats.org/officeDocument/2006/relationships/image" Target="media/image307.jpeg" /><Relationship Id="rId311" Type="http://schemas.openxmlformats.org/officeDocument/2006/relationships/image" Target="media/image308.jpeg" /><Relationship Id="rId312" Type="http://schemas.openxmlformats.org/officeDocument/2006/relationships/image" Target="media/image309.jpeg" /><Relationship Id="rId313" Type="http://schemas.openxmlformats.org/officeDocument/2006/relationships/image" Target="media/image310.jpeg" /><Relationship Id="rId314" Type="http://schemas.openxmlformats.org/officeDocument/2006/relationships/image" Target="media/image311.jpeg" /><Relationship Id="rId315" Type="http://schemas.openxmlformats.org/officeDocument/2006/relationships/image" Target="media/image312.jpeg" /><Relationship Id="rId316" Type="http://schemas.openxmlformats.org/officeDocument/2006/relationships/image" Target="media/image313.jpeg" /><Relationship Id="rId317" Type="http://schemas.openxmlformats.org/officeDocument/2006/relationships/image" Target="media/image314.jpeg" /><Relationship Id="rId318" Type="http://schemas.openxmlformats.org/officeDocument/2006/relationships/image" Target="media/image315.jpeg" /><Relationship Id="rId319" Type="http://schemas.openxmlformats.org/officeDocument/2006/relationships/image" Target="media/image316.jpeg" /><Relationship Id="rId32" Type="http://schemas.openxmlformats.org/officeDocument/2006/relationships/image" Target="media/image29.jpeg" /><Relationship Id="rId320" Type="http://schemas.openxmlformats.org/officeDocument/2006/relationships/image" Target="media/image317.jpeg" /><Relationship Id="rId321" Type="http://schemas.openxmlformats.org/officeDocument/2006/relationships/image" Target="media/image318.jpeg" /><Relationship Id="rId322" Type="http://schemas.openxmlformats.org/officeDocument/2006/relationships/image" Target="media/image319.jpeg" /><Relationship Id="rId323" Type="http://schemas.openxmlformats.org/officeDocument/2006/relationships/image" Target="media/image320.jpeg" /><Relationship Id="rId324" Type="http://schemas.openxmlformats.org/officeDocument/2006/relationships/image" Target="media/image321.jpeg" /><Relationship Id="rId325" Type="http://schemas.openxmlformats.org/officeDocument/2006/relationships/image" Target="media/image322.jpeg" /><Relationship Id="rId326" Type="http://schemas.openxmlformats.org/officeDocument/2006/relationships/image" Target="media/image323.jpeg" /><Relationship Id="rId327" Type="http://schemas.openxmlformats.org/officeDocument/2006/relationships/image" Target="media/image324.jpeg" /><Relationship Id="rId328" Type="http://schemas.openxmlformats.org/officeDocument/2006/relationships/image" Target="media/image325.jpeg" /><Relationship Id="rId329" Type="http://schemas.openxmlformats.org/officeDocument/2006/relationships/image" Target="media/image326.jpeg" /><Relationship Id="rId33" Type="http://schemas.openxmlformats.org/officeDocument/2006/relationships/image" Target="media/image30.jpeg" /><Relationship Id="rId330" Type="http://schemas.openxmlformats.org/officeDocument/2006/relationships/image" Target="media/image327.jpeg" /><Relationship Id="rId331" Type="http://schemas.openxmlformats.org/officeDocument/2006/relationships/image" Target="media/image328.jpeg" /><Relationship Id="rId332" Type="http://schemas.openxmlformats.org/officeDocument/2006/relationships/image" Target="media/image329.jpeg" /><Relationship Id="rId333" Type="http://schemas.openxmlformats.org/officeDocument/2006/relationships/image" Target="media/image330.jpeg" /><Relationship Id="rId334" Type="http://schemas.openxmlformats.org/officeDocument/2006/relationships/image" Target="media/image331.jpeg" /><Relationship Id="rId335" Type="http://schemas.openxmlformats.org/officeDocument/2006/relationships/image" Target="media/image332.jpeg" /><Relationship Id="rId336" Type="http://schemas.openxmlformats.org/officeDocument/2006/relationships/image" Target="media/image333.jpeg" /><Relationship Id="rId337" Type="http://schemas.openxmlformats.org/officeDocument/2006/relationships/image" Target="media/image334.jpeg" /><Relationship Id="rId338" Type="http://schemas.openxmlformats.org/officeDocument/2006/relationships/image" Target="media/image335.jpeg" /><Relationship Id="rId339" Type="http://schemas.openxmlformats.org/officeDocument/2006/relationships/image" Target="media/image336.jpeg" /><Relationship Id="rId34" Type="http://schemas.openxmlformats.org/officeDocument/2006/relationships/image" Target="media/image31.jpeg" /><Relationship Id="rId340" Type="http://schemas.openxmlformats.org/officeDocument/2006/relationships/image" Target="media/image337.jpeg" /><Relationship Id="rId341" Type="http://schemas.openxmlformats.org/officeDocument/2006/relationships/image" Target="media/image338.jpeg" /><Relationship Id="rId342" Type="http://schemas.openxmlformats.org/officeDocument/2006/relationships/image" Target="media/image339.jpeg" /><Relationship Id="rId343" Type="http://schemas.openxmlformats.org/officeDocument/2006/relationships/image" Target="media/image340.jpeg" /><Relationship Id="rId344" Type="http://schemas.openxmlformats.org/officeDocument/2006/relationships/image" Target="media/image341.jpeg" /><Relationship Id="rId345" Type="http://schemas.openxmlformats.org/officeDocument/2006/relationships/image" Target="media/image342.jpeg" /><Relationship Id="rId346" Type="http://schemas.openxmlformats.org/officeDocument/2006/relationships/image" Target="media/image343.jpeg" /><Relationship Id="rId347" Type="http://schemas.openxmlformats.org/officeDocument/2006/relationships/image" Target="media/image344.jpeg" /><Relationship Id="rId348" Type="http://schemas.openxmlformats.org/officeDocument/2006/relationships/image" Target="media/image345.jpeg" /><Relationship Id="rId349" Type="http://schemas.openxmlformats.org/officeDocument/2006/relationships/image" Target="media/image346.jpeg" /><Relationship Id="rId35" Type="http://schemas.openxmlformats.org/officeDocument/2006/relationships/image" Target="media/image32.jpeg" /><Relationship Id="rId350" Type="http://schemas.openxmlformats.org/officeDocument/2006/relationships/image" Target="media/image347.jpeg" /><Relationship Id="rId351" Type="http://schemas.openxmlformats.org/officeDocument/2006/relationships/image" Target="media/image348.jpeg" /><Relationship Id="rId352" Type="http://schemas.openxmlformats.org/officeDocument/2006/relationships/image" Target="media/image349.jpeg" /><Relationship Id="rId353" Type="http://schemas.openxmlformats.org/officeDocument/2006/relationships/image" Target="media/image350.jpeg" /><Relationship Id="rId354" Type="http://schemas.openxmlformats.org/officeDocument/2006/relationships/image" Target="media/image351.jpeg" /><Relationship Id="rId355" Type="http://schemas.openxmlformats.org/officeDocument/2006/relationships/image" Target="media/image352.jpeg" /><Relationship Id="rId356" Type="http://schemas.openxmlformats.org/officeDocument/2006/relationships/image" Target="media/image353.jpeg" /><Relationship Id="rId357" Type="http://schemas.openxmlformats.org/officeDocument/2006/relationships/image" Target="media/image354.jpeg" /><Relationship Id="rId358" Type="http://schemas.openxmlformats.org/officeDocument/2006/relationships/image" Target="media/image355.jpeg" /><Relationship Id="rId359" Type="http://schemas.openxmlformats.org/officeDocument/2006/relationships/image" Target="media/image356.jpeg" /><Relationship Id="rId36" Type="http://schemas.openxmlformats.org/officeDocument/2006/relationships/image" Target="media/image33.jpeg" /><Relationship Id="rId360" Type="http://schemas.openxmlformats.org/officeDocument/2006/relationships/image" Target="media/image357.jpeg" /><Relationship Id="rId361" Type="http://schemas.openxmlformats.org/officeDocument/2006/relationships/image" Target="media/image358.jpeg" /><Relationship Id="rId362" Type="http://schemas.openxmlformats.org/officeDocument/2006/relationships/image" Target="media/image359.jpeg" /><Relationship Id="rId363" Type="http://schemas.openxmlformats.org/officeDocument/2006/relationships/image" Target="media/image360.jpeg" /><Relationship Id="rId364" Type="http://schemas.openxmlformats.org/officeDocument/2006/relationships/image" Target="media/image361.jpeg" /><Relationship Id="rId365" Type="http://schemas.openxmlformats.org/officeDocument/2006/relationships/image" Target="media/image362.jpeg" /><Relationship Id="rId366" Type="http://schemas.openxmlformats.org/officeDocument/2006/relationships/image" Target="media/image363.jpeg" /><Relationship Id="rId367" Type="http://schemas.openxmlformats.org/officeDocument/2006/relationships/image" Target="media/image364.jpeg" /><Relationship Id="rId368" Type="http://schemas.openxmlformats.org/officeDocument/2006/relationships/image" Target="media/image365.jpeg" /><Relationship Id="rId369" Type="http://schemas.openxmlformats.org/officeDocument/2006/relationships/image" Target="media/image366.jpeg" /><Relationship Id="rId37" Type="http://schemas.openxmlformats.org/officeDocument/2006/relationships/image" Target="media/image34.jpeg" /><Relationship Id="rId370" Type="http://schemas.openxmlformats.org/officeDocument/2006/relationships/image" Target="media/image367.jpeg" /><Relationship Id="rId371" Type="http://schemas.openxmlformats.org/officeDocument/2006/relationships/image" Target="media/image368.jpeg" /><Relationship Id="rId372" Type="http://schemas.openxmlformats.org/officeDocument/2006/relationships/image" Target="media/image369.jpeg" /><Relationship Id="rId373" Type="http://schemas.openxmlformats.org/officeDocument/2006/relationships/image" Target="media/image370.jpeg" /><Relationship Id="rId374" Type="http://schemas.openxmlformats.org/officeDocument/2006/relationships/image" Target="media/image371.jpeg" /><Relationship Id="rId375" Type="http://schemas.openxmlformats.org/officeDocument/2006/relationships/image" Target="media/image372.jpeg" /><Relationship Id="rId376" Type="http://schemas.openxmlformats.org/officeDocument/2006/relationships/image" Target="media/image373.jpeg" /><Relationship Id="rId377" Type="http://schemas.openxmlformats.org/officeDocument/2006/relationships/image" Target="media/image374.jpeg" /><Relationship Id="rId378" Type="http://schemas.openxmlformats.org/officeDocument/2006/relationships/image" Target="media/image375.jpeg" /><Relationship Id="rId379" Type="http://schemas.openxmlformats.org/officeDocument/2006/relationships/image" Target="media/image376.jpeg" /><Relationship Id="rId38" Type="http://schemas.openxmlformats.org/officeDocument/2006/relationships/image" Target="media/image35.jpeg" /><Relationship Id="rId380" Type="http://schemas.openxmlformats.org/officeDocument/2006/relationships/image" Target="media/image377.jpeg" /><Relationship Id="rId381" Type="http://schemas.openxmlformats.org/officeDocument/2006/relationships/image" Target="media/image378.jpeg" /><Relationship Id="rId382" Type="http://schemas.openxmlformats.org/officeDocument/2006/relationships/image" Target="media/image379.jpeg" /><Relationship Id="rId383" Type="http://schemas.openxmlformats.org/officeDocument/2006/relationships/image" Target="media/image380.jpeg" /><Relationship Id="rId384" Type="http://schemas.openxmlformats.org/officeDocument/2006/relationships/image" Target="media/image381.jpeg" /><Relationship Id="rId385" Type="http://schemas.openxmlformats.org/officeDocument/2006/relationships/image" Target="media/image382.jpeg" /><Relationship Id="rId386" Type="http://schemas.openxmlformats.org/officeDocument/2006/relationships/image" Target="media/image383.jpeg" /><Relationship Id="rId387" Type="http://schemas.openxmlformats.org/officeDocument/2006/relationships/image" Target="media/image384.jpeg" /><Relationship Id="rId388" Type="http://schemas.openxmlformats.org/officeDocument/2006/relationships/image" Target="media/image385.jpeg" /><Relationship Id="rId389" Type="http://schemas.openxmlformats.org/officeDocument/2006/relationships/image" Target="media/image386.jpeg" /><Relationship Id="rId39" Type="http://schemas.openxmlformats.org/officeDocument/2006/relationships/image" Target="media/image36.jpeg" /><Relationship Id="rId390" Type="http://schemas.openxmlformats.org/officeDocument/2006/relationships/image" Target="media/image387.jpeg" /><Relationship Id="rId391" Type="http://schemas.openxmlformats.org/officeDocument/2006/relationships/image" Target="media/image388.jpeg" /><Relationship Id="rId392" Type="http://schemas.openxmlformats.org/officeDocument/2006/relationships/image" Target="media/image389.jpeg" /><Relationship Id="rId393" Type="http://schemas.openxmlformats.org/officeDocument/2006/relationships/image" Target="media/image390.jpeg" /><Relationship Id="rId394" Type="http://schemas.openxmlformats.org/officeDocument/2006/relationships/image" Target="media/image391.jpeg" /><Relationship Id="rId395" Type="http://schemas.openxmlformats.org/officeDocument/2006/relationships/image" Target="media/image392.jpeg" /><Relationship Id="rId396" Type="http://schemas.openxmlformats.org/officeDocument/2006/relationships/image" Target="media/image393.jpeg" /><Relationship Id="rId397" Type="http://schemas.openxmlformats.org/officeDocument/2006/relationships/image" Target="media/image394.jpeg" /><Relationship Id="rId398" Type="http://schemas.openxmlformats.org/officeDocument/2006/relationships/image" Target="media/image395.jpeg" /><Relationship Id="rId399" Type="http://schemas.openxmlformats.org/officeDocument/2006/relationships/image" Target="media/image396.jpeg" /><Relationship Id="rId4" Type="http://schemas.openxmlformats.org/officeDocument/2006/relationships/image" Target="media/image1.jpeg" /><Relationship Id="rId40" Type="http://schemas.openxmlformats.org/officeDocument/2006/relationships/image" Target="media/image37.jpeg" /><Relationship Id="rId400" Type="http://schemas.openxmlformats.org/officeDocument/2006/relationships/image" Target="media/image397.jpeg" /><Relationship Id="rId401" Type="http://schemas.openxmlformats.org/officeDocument/2006/relationships/image" Target="media/image398.jpeg" /><Relationship Id="rId402" Type="http://schemas.openxmlformats.org/officeDocument/2006/relationships/image" Target="media/image399.jpeg" /><Relationship Id="rId403" Type="http://schemas.openxmlformats.org/officeDocument/2006/relationships/theme" Target="theme/theme1.xml" /><Relationship Id="rId404" Type="http://schemas.openxmlformats.org/officeDocument/2006/relationships/styles" Target="styles.xml"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